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A75A3" w14:textId="6E586087" w:rsidR="00424275" w:rsidRDefault="00A64B47" w:rsidP="00FF77C1">
      <w:pPr>
        <w:pStyle w:val="BodyText"/>
        <w:spacing w:before="1320"/>
        <w:jc w:val="center"/>
        <w:rPr>
          <w:b/>
          <w:bCs/>
          <w:color w:val="1A568E" w:themeColor="accent1" w:themeShade="80"/>
          <w:sz w:val="40"/>
          <w:szCs w:val="40"/>
        </w:rPr>
      </w:pPr>
      <w:r>
        <w:rPr>
          <w:b/>
          <w:bCs/>
          <w:color w:val="1A568E" w:themeColor="accent1" w:themeShade="80"/>
          <w:sz w:val="40"/>
          <w:szCs w:val="40"/>
        </w:rPr>
        <w:t xml:space="preserve">Form 3253 </w:t>
      </w:r>
      <w:r w:rsidR="00037AA8" w:rsidRPr="009E1C75">
        <w:rPr>
          <w:b/>
          <w:bCs/>
          <w:color w:val="1A568E" w:themeColor="accent1" w:themeShade="80"/>
          <w:sz w:val="40"/>
          <w:szCs w:val="40"/>
        </w:rPr>
        <w:t>Application for</w:t>
      </w:r>
      <w:r w:rsidR="00E8300E">
        <w:rPr>
          <w:b/>
          <w:bCs/>
          <w:color w:val="1A568E" w:themeColor="accent1" w:themeShade="80"/>
          <w:sz w:val="40"/>
          <w:szCs w:val="40"/>
        </w:rPr>
        <w:t xml:space="preserve"> </w:t>
      </w:r>
      <w:r w:rsidR="00EF7823">
        <w:rPr>
          <w:b/>
          <w:bCs/>
          <w:color w:val="1A568E" w:themeColor="accent1" w:themeShade="80"/>
          <w:sz w:val="40"/>
          <w:szCs w:val="40"/>
        </w:rPr>
        <w:t xml:space="preserve">Inpatient and </w:t>
      </w:r>
    </w:p>
    <w:p w14:paraId="5DA8A327" w14:textId="4A92079A" w:rsidR="00037AA8" w:rsidRPr="009E1C75" w:rsidRDefault="00EF7823" w:rsidP="003031AA">
      <w:pPr>
        <w:pStyle w:val="BodyText"/>
        <w:jc w:val="center"/>
        <w:rPr>
          <w:b/>
          <w:bCs/>
          <w:color w:val="1A568E" w:themeColor="accent1" w:themeShade="80"/>
          <w:sz w:val="40"/>
          <w:szCs w:val="40"/>
        </w:rPr>
      </w:pPr>
      <w:r>
        <w:rPr>
          <w:b/>
          <w:bCs/>
          <w:color w:val="1A568E" w:themeColor="accent1" w:themeShade="80"/>
          <w:sz w:val="40"/>
          <w:szCs w:val="40"/>
        </w:rPr>
        <w:t xml:space="preserve">Outpatient Service </w:t>
      </w:r>
      <w:r w:rsidR="00CA0989">
        <w:rPr>
          <w:b/>
          <w:bCs/>
          <w:color w:val="1A568E" w:themeColor="accent1" w:themeShade="80"/>
          <w:sz w:val="40"/>
          <w:szCs w:val="40"/>
        </w:rPr>
        <w:t>R</w:t>
      </w:r>
      <w:r w:rsidR="00037AA8" w:rsidRPr="009E1C75">
        <w:rPr>
          <w:b/>
          <w:bCs/>
          <w:color w:val="1A568E" w:themeColor="accent1" w:themeShade="80"/>
          <w:sz w:val="40"/>
          <w:szCs w:val="40"/>
        </w:rPr>
        <w:t xml:space="preserve">ate </w:t>
      </w:r>
      <w:r w:rsidR="00CA0989">
        <w:rPr>
          <w:b/>
          <w:bCs/>
          <w:color w:val="1A568E" w:themeColor="accent1" w:themeShade="80"/>
          <w:sz w:val="40"/>
          <w:szCs w:val="40"/>
        </w:rPr>
        <w:t>Change</w:t>
      </w:r>
      <w:r w:rsidR="00037AA8" w:rsidRPr="009E1C75">
        <w:rPr>
          <w:b/>
          <w:bCs/>
          <w:color w:val="1A568E" w:themeColor="accent1" w:themeShade="80"/>
          <w:sz w:val="40"/>
          <w:szCs w:val="40"/>
        </w:rPr>
        <w:t>,</w:t>
      </w:r>
    </w:p>
    <w:p w14:paraId="349A55C9" w14:textId="77777777" w:rsidR="009E1C75" w:rsidRDefault="00037AA8" w:rsidP="003031AA">
      <w:pPr>
        <w:pStyle w:val="BodyText"/>
        <w:jc w:val="center"/>
        <w:rPr>
          <w:b/>
          <w:bCs/>
          <w:color w:val="1A568E" w:themeColor="accent1" w:themeShade="80"/>
          <w:sz w:val="40"/>
          <w:szCs w:val="40"/>
        </w:rPr>
      </w:pPr>
      <w:r w:rsidRPr="009E1C75">
        <w:rPr>
          <w:b/>
          <w:bCs/>
          <w:color w:val="1A568E" w:themeColor="accent1" w:themeShade="80"/>
          <w:sz w:val="40"/>
          <w:szCs w:val="40"/>
        </w:rPr>
        <w:t xml:space="preserve">as Required under </w:t>
      </w:r>
      <w:r w:rsidR="009E1C75">
        <w:rPr>
          <w:b/>
          <w:bCs/>
          <w:color w:val="1A568E" w:themeColor="accent1" w:themeShade="80"/>
          <w:sz w:val="40"/>
          <w:szCs w:val="40"/>
        </w:rPr>
        <w:t xml:space="preserve">the </w:t>
      </w:r>
    </w:p>
    <w:p w14:paraId="2987F73F" w14:textId="61CDF0C3" w:rsidR="00037AA8" w:rsidRPr="009E1C75" w:rsidRDefault="00037AA8" w:rsidP="00FF77C1">
      <w:pPr>
        <w:pStyle w:val="BodyText"/>
        <w:spacing w:after="2040"/>
        <w:jc w:val="center"/>
        <w:rPr>
          <w:b/>
          <w:bCs/>
          <w:color w:val="1A568E" w:themeColor="accent1" w:themeShade="80"/>
          <w:sz w:val="40"/>
          <w:szCs w:val="40"/>
        </w:rPr>
      </w:pPr>
      <w:r w:rsidRPr="009E1C75">
        <w:rPr>
          <w:b/>
          <w:bCs/>
          <w:color w:val="1A568E" w:themeColor="accent1" w:themeShade="80"/>
          <w:sz w:val="40"/>
          <w:szCs w:val="40"/>
        </w:rPr>
        <w:t>Certificate of Public Advantage (COPA)</w:t>
      </w:r>
    </w:p>
    <w:p w14:paraId="6024EAD3" w14:textId="3322C81B" w:rsidR="00037AA8" w:rsidRPr="009E1C75" w:rsidRDefault="00037AA8" w:rsidP="00FF77C1">
      <w:pPr>
        <w:pStyle w:val="BodyText"/>
        <w:spacing w:before="1440" w:line="720" w:lineRule="auto"/>
        <w:jc w:val="center"/>
        <w:rPr>
          <w:b/>
          <w:bCs/>
          <w:color w:val="1A568E" w:themeColor="accent1" w:themeShade="80"/>
          <w:sz w:val="40"/>
          <w:szCs w:val="40"/>
        </w:rPr>
      </w:pPr>
      <w:r w:rsidRPr="009E1C75">
        <w:rPr>
          <w:b/>
          <w:bCs/>
          <w:color w:val="1A568E" w:themeColor="accent1" w:themeShade="80"/>
          <w:sz w:val="40"/>
          <w:szCs w:val="40"/>
        </w:rPr>
        <w:t xml:space="preserve">Made for </w:t>
      </w:r>
      <w:r w:rsidR="0063030B" w:rsidRPr="00290ECB">
        <w:rPr>
          <w:b/>
          <w:bCs/>
          <w:i/>
          <w:iCs/>
          <w:color w:val="1A568E" w:themeColor="accent1" w:themeShade="80"/>
          <w:sz w:val="40"/>
          <w:szCs w:val="40"/>
          <w:u w:val="single"/>
        </w:rPr>
        <w:fldChar w:fldCharType="begin">
          <w:ffData>
            <w:name w:val="Text1"/>
            <w:enabled/>
            <w:calcOnExit w:val="0"/>
            <w:textInput>
              <w:default w:val="Enter Hospital Name"/>
            </w:textInput>
          </w:ffData>
        </w:fldChar>
      </w:r>
      <w:bookmarkStart w:id="0" w:name="Text1"/>
      <w:r w:rsidR="0063030B" w:rsidRPr="00290ECB">
        <w:rPr>
          <w:b/>
          <w:bCs/>
          <w:i/>
          <w:iCs/>
          <w:color w:val="1A568E" w:themeColor="accent1" w:themeShade="80"/>
          <w:sz w:val="40"/>
          <w:szCs w:val="40"/>
          <w:u w:val="single"/>
        </w:rPr>
        <w:instrText xml:space="preserve"> FORMTEXT </w:instrText>
      </w:r>
      <w:r w:rsidR="0063030B" w:rsidRPr="00290ECB">
        <w:rPr>
          <w:b/>
          <w:bCs/>
          <w:i/>
          <w:iCs/>
          <w:color w:val="1A568E" w:themeColor="accent1" w:themeShade="80"/>
          <w:sz w:val="40"/>
          <w:szCs w:val="40"/>
          <w:u w:val="single"/>
        </w:rPr>
      </w:r>
      <w:r w:rsidR="0063030B" w:rsidRPr="00290ECB">
        <w:rPr>
          <w:b/>
          <w:bCs/>
          <w:i/>
          <w:iCs/>
          <w:color w:val="1A568E" w:themeColor="accent1" w:themeShade="80"/>
          <w:sz w:val="40"/>
          <w:szCs w:val="40"/>
          <w:u w:val="single"/>
        </w:rPr>
        <w:fldChar w:fldCharType="separate"/>
      </w:r>
      <w:r w:rsidR="0063030B" w:rsidRPr="00290ECB">
        <w:rPr>
          <w:b/>
          <w:bCs/>
          <w:i/>
          <w:iCs/>
          <w:noProof/>
          <w:color w:val="1A568E" w:themeColor="accent1" w:themeShade="80"/>
          <w:sz w:val="40"/>
          <w:szCs w:val="40"/>
          <w:u w:val="single"/>
        </w:rPr>
        <w:t>Enter Hospital Name</w:t>
      </w:r>
      <w:r w:rsidR="0063030B" w:rsidRPr="00290ECB">
        <w:rPr>
          <w:b/>
          <w:bCs/>
          <w:i/>
          <w:iCs/>
          <w:color w:val="1A568E" w:themeColor="accent1" w:themeShade="80"/>
          <w:sz w:val="40"/>
          <w:szCs w:val="40"/>
          <w:u w:val="single"/>
        </w:rPr>
        <w:fldChar w:fldCharType="end"/>
      </w:r>
      <w:bookmarkEnd w:id="0"/>
    </w:p>
    <w:p w14:paraId="35B19D63" w14:textId="77777777" w:rsidR="00424275" w:rsidRDefault="00037AA8" w:rsidP="00FF77C1">
      <w:pPr>
        <w:pStyle w:val="BodyText"/>
        <w:spacing w:before="1560" w:line="240" w:lineRule="auto"/>
        <w:jc w:val="center"/>
        <w:rPr>
          <w:b/>
          <w:bCs/>
          <w:color w:val="1A568E" w:themeColor="accent1" w:themeShade="80"/>
          <w:sz w:val="40"/>
          <w:szCs w:val="40"/>
        </w:rPr>
      </w:pPr>
      <w:r w:rsidRPr="009E1C75">
        <w:rPr>
          <w:b/>
          <w:bCs/>
          <w:color w:val="1A568E" w:themeColor="accent1" w:themeShade="80"/>
          <w:sz w:val="40"/>
          <w:szCs w:val="40"/>
        </w:rPr>
        <w:t xml:space="preserve">According to </w:t>
      </w:r>
      <w:r w:rsidR="00EC4283" w:rsidRPr="00E8300E">
        <w:rPr>
          <w:b/>
          <w:bCs/>
          <w:color w:val="1A568E" w:themeColor="accent1" w:themeShade="80"/>
          <w:sz w:val="40"/>
          <w:szCs w:val="40"/>
        </w:rPr>
        <w:t xml:space="preserve">Texas Health </w:t>
      </w:r>
    </w:p>
    <w:p w14:paraId="68289E20" w14:textId="38086904" w:rsidR="00836009" w:rsidRDefault="00EC4283" w:rsidP="00EC4283">
      <w:pPr>
        <w:pStyle w:val="BodyText"/>
        <w:jc w:val="center"/>
        <w:rPr>
          <w:b/>
          <w:bCs/>
          <w:color w:val="1A568E" w:themeColor="accent1" w:themeShade="80"/>
          <w:sz w:val="40"/>
          <w:szCs w:val="40"/>
        </w:rPr>
      </w:pPr>
      <w:r w:rsidRPr="00E8300E">
        <w:rPr>
          <w:b/>
          <w:bCs/>
          <w:color w:val="1A568E" w:themeColor="accent1" w:themeShade="80"/>
          <w:sz w:val="40"/>
          <w:szCs w:val="40"/>
        </w:rPr>
        <w:t>and Safety Code §314</w:t>
      </w:r>
      <w:r w:rsidR="001568C5">
        <w:rPr>
          <w:b/>
          <w:bCs/>
          <w:color w:val="1A568E" w:themeColor="accent1" w:themeShade="80"/>
          <w:sz w:val="40"/>
          <w:szCs w:val="40"/>
        </w:rPr>
        <w:t>A</w:t>
      </w:r>
      <w:r w:rsidRPr="00E8300E">
        <w:rPr>
          <w:b/>
          <w:bCs/>
          <w:color w:val="1A568E" w:themeColor="accent1" w:themeShade="80"/>
          <w:sz w:val="40"/>
          <w:szCs w:val="40"/>
        </w:rPr>
        <w:t>.102</w:t>
      </w:r>
    </w:p>
    <w:p w14:paraId="282785EC" w14:textId="74FD32DB" w:rsidR="009E1C75" w:rsidRPr="00E8300E" w:rsidRDefault="00E55331" w:rsidP="00FF77C1">
      <w:pPr>
        <w:spacing w:line="720" w:lineRule="auto"/>
        <w:rPr>
          <w:b/>
          <w:bCs/>
          <w:color w:val="1A568E" w:themeColor="accent1" w:themeShade="80"/>
          <w:sz w:val="40"/>
          <w:szCs w:val="40"/>
        </w:rPr>
      </w:pPr>
      <w:r>
        <w:rPr>
          <w:b/>
          <w:bCs/>
          <w:color w:val="1A568E" w:themeColor="accent1" w:themeShade="80"/>
          <w:sz w:val="40"/>
          <w:szCs w:val="40"/>
        </w:rPr>
        <w:br w:type="page"/>
      </w:r>
      <w:r w:rsidR="009E1C75" w:rsidRPr="00E8300E">
        <w:rPr>
          <w:b/>
          <w:bCs/>
          <w:color w:val="1A568E" w:themeColor="accent1" w:themeShade="80"/>
          <w:sz w:val="40"/>
          <w:szCs w:val="40"/>
        </w:rPr>
        <w:t>Table of Contents</w:t>
      </w:r>
    </w:p>
    <w:sdt>
      <w:sdtPr>
        <w:rPr>
          <w:rFonts w:asciiTheme="minorHAnsi" w:hAnsiTheme="minorHAnsi"/>
          <w:b/>
          <w:bCs/>
        </w:rPr>
        <w:id w:val="1371424576"/>
        <w:docPartObj>
          <w:docPartGallery w:val="Table of Contents"/>
          <w:docPartUnique/>
        </w:docPartObj>
      </w:sdtPr>
      <w:sdtEndPr>
        <w:rPr>
          <w:noProof/>
        </w:rPr>
      </w:sdtEndPr>
      <w:sdtContent>
        <w:p w14:paraId="57650F3E" w14:textId="68A2EC96" w:rsidR="006E404D" w:rsidRDefault="002E2998">
          <w:pPr>
            <w:pStyle w:val="TOC2"/>
            <w:tabs>
              <w:tab w:val="left" w:pos="660"/>
              <w:tab w:val="right" w:leader="dot" w:pos="9350"/>
            </w:tabs>
            <w:rPr>
              <w:rFonts w:asciiTheme="minorHAnsi" w:eastAsiaTheme="minorEastAsia" w:hAnsiTheme="minorHAnsi"/>
              <w:noProof/>
              <w:szCs w:val="22"/>
            </w:rPr>
          </w:pPr>
          <w:r>
            <w:rPr>
              <w:b/>
            </w:rPr>
            <w:fldChar w:fldCharType="begin"/>
          </w:r>
          <w:r>
            <w:rPr>
              <w:b/>
            </w:rPr>
            <w:instrText xml:space="preserve"> TOC \o "1-4" \h \z \u </w:instrText>
          </w:r>
          <w:r>
            <w:rPr>
              <w:b/>
            </w:rPr>
            <w:fldChar w:fldCharType="separate"/>
          </w:r>
          <w:hyperlink w:anchor="_Toc99726030" w:history="1">
            <w:r w:rsidR="006E404D" w:rsidRPr="00703235">
              <w:rPr>
                <w:rStyle w:val="Hyperlink"/>
                <w:noProof/>
              </w:rPr>
              <w:t>I.</w:t>
            </w:r>
            <w:r w:rsidR="006E404D">
              <w:rPr>
                <w:rFonts w:asciiTheme="minorHAnsi" w:eastAsiaTheme="minorEastAsia" w:hAnsiTheme="minorHAnsi"/>
                <w:noProof/>
                <w:szCs w:val="22"/>
              </w:rPr>
              <w:tab/>
            </w:r>
            <w:r w:rsidR="006E404D" w:rsidRPr="00703235">
              <w:rPr>
                <w:rStyle w:val="Hyperlink"/>
                <w:noProof/>
              </w:rPr>
              <w:t>Overview</w:t>
            </w:r>
            <w:r w:rsidR="006E404D">
              <w:rPr>
                <w:noProof/>
                <w:webHidden/>
              </w:rPr>
              <w:tab/>
            </w:r>
            <w:r w:rsidR="006E404D">
              <w:rPr>
                <w:noProof/>
                <w:webHidden/>
              </w:rPr>
              <w:fldChar w:fldCharType="begin"/>
            </w:r>
            <w:r w:rsidR="006E404D">
              <w:rPr>
                <w:noProof/>
                <w:webHidden/>
              </w:rPr>
              <w:instrText xml:space="preserve"> PAGEREF _Toc99726030 \h </w:instrText>
            </w:r>
            <w:r w:rsidR="006E404D">
              <w:rPr>
                <w:noProof/>
                <w:webHidden/>
              </w:rPr>
            </w:r>
            <w:r w:rsidR="006E404D">
              <w:rPr>
                <w:noProof/>
                <w:webHidden/>
              </w:rPr>
              <w:fldChar w:fldCharType="separate"/>
            </w:r>
            <w:r w:rsidR="00FF77C1">
              <w:rPr>
                <w:noProof/>
                <w:webHidden/>
              </w:rPr>
              <w:t>3</w:t>
            </w:r>
            <w:r w:rsidR="006E404D">
              <w:rPr>
                <w:noProof/>
                <w:webHidden/>
              </w:rPr>
              <w:fldChar w:fldCharType="end"/>
            </w:r>
          </w:hyperlink>
        </w:p>
        <w:p w14:paraId="5B06AE71" w14:textId="173A819D" w:rsidR="006E404D" w:rsidRDefault="00AD7CFE">
          <w:pPr>
            <w:pStyle w:val="TOC2"/>
            <w:tabs>
              <w:tab w:val="left" w:pos="660"/>
              <w:tab w:val="right" w:leader="dot" w:pos="9350"/>
            </w:tabs>
            <w:rPr>
              <w:rFonts w:asciiTheme="minorHAnsi" w:eastAsiaTheme="minorEastAsia" w:hAnsiTheme="minorHAnsi"/>
              <w:noProof/>
              <w:szCs w:val="22"/>
            </w:rPr>
          </w:pPr>
          <w:hyperlink w:anchor="_Toc99726031" w:history="1">
            <w:r w:rsidR="006E404D" w:rsidRPr="00703235">
              <w:rPr>
                <w:rStyle w:val="Hyperlink"/>
                <w:noProof/>
              </w:rPr>
              <w:t>II.</w:t>
            </w:r>
            <w:r w:rsidR="006E404D">
              <w:rPr>
                <w:rFonts w:asciiTheme="minorHAnsi" w:eastAsiaTheme="minorEastAsia" w:hAnsiTheme="minorHAnsi"/>
                <w:noProof/>
                <w:szCs w:val="22"/>
              </w:rPr>
              <w:tab/>
            </w:r>
            <w:r w:rsidR="006E404D" w:rsidRPr="00703235">
              <w:rPr>
                <w:rStyle w:val="Hyperlink"/>
                <w:noProof/>
              </w:rPr>
              <w:t>Application</w:t>
            </w:r>
            <w:r w:rsidR="006E404D">
              <w:rPr>
                <w:noProof/>
                <w:webHidden/>
              </w:rPr>
              <w:tab/>
            </w:r>
            <w:r w:rsidR="006E404D">
              <w:rPr>
                <w:noProof/>
                <w:webHidden/>
              </w:rPr>
              <w:fldChar w:fldCharType="begin"/>
            </w:r>
            <w:r w:rsidR="006E404D">
              <w:rPr>
                <w:noProof/>
                <w:webHidden/>
              </w:rPr>
              <w:instrText xml:space="preserve"> PAGEREF _Toc99726031 \h </w:instrText>
            </w:r>
            <w:r w:rsidR="006E404D">
              <w:rPr>
                <w:noProof/>
                <w:webHidden/>
              </w:rPr>
            </w:r>
            <w:r w:rsidR="006E404D">
              <w:rPr>
                <w:noProof/>
                <w:webHidden/>
              </w:rPr>
              <w:fldChar w:fldCharType="separate"/>
            </w:r>
            <w:r w:rsidR="00FF77C1">
              <w:rPr>
                <w:noProof/>
                <w:webHidden/>
              </w:rPr>
              <w:t>4</w:t>
            </w:r>
            <w:r w:rsidR="006E404D">
              <w:rPr>
                <w:noProof/>
                <w:webHidden/>
              </w:rPr>
              <w:fldChar w:fldCharType="end"/>
            </w:r>
          </w:hyperlink>
        </w:p>
        <w:p w14:paraId="2A5F0BA1" w14:textId="07E90D8C" w:rsidR="006E404D" w:rsidRDefault="00AD7CFE" w:rsidP="00831650">
          <w:pPr>
            <w:pStyle w:val="TOC4"/>
            <w:tabs>
              <w:tab w:val="left" w:pos="1100"/>
              <w:tab w:val="right" w:leader="dot" w:pos="9350"/>
            </w:tabs>
            <w:ind w:left="1080" w:hanging="540"/>
            <w:rPr>
              <w:rFonts w:asciiTheme="minorHAnsi" w:eastAsiaTheme="minorEastAsia" w:hAnsiTheme="minorHAnsi"/>
              <w:noProof/>
              <w:szCs w:val="22"/>
            </w:rPr>
          </w:pPr>
          <w:hyperlink w:anchor="_Toc99726032" w:history="1">
            <w:r w:rsidR="006E404D" w:rsidRPr="00703235">
              <w:rPr>
                <w:rStyle w:val="Hyperlink"/>
                <w:noProof/>
              </w:rPr>
              <w:t>1)</w:t>
            </w:r>
            <w:r w:rsidR="006E404D">
              <w:rPr>
                <w:rFonts w:asciiTheme="minorHAnsi" w:eastAsiaTheme="minorEastAsia" w:hAnsiTheme="minorHAnsi"/>
                <w:noProof/>
                <w:szCs w:val="22"/>
              </w:rPr>
              <w:tab/>
            </w:r>
            <w:r w:rsidR="006E404D" w:rsidRPr="00703235">
              <w:rPr>
                <w:rStyle w:val="Hyperlink"/>
                <w:noProof/>
              </w:rPr>
              <w:t>Hospital Rate Change Request</w:t>
            </w:r>
            <w:r w:rsidR="006E404D">
              <w:rPr>
                <w:noProof/>
                <w:webHidden/>
              </w:rPr>
              <w:tab/>
            </w:r>
            <w:r w:rsidR="006E404D">
              <w:rPr>
                <w:noProof/>
                <w:webHidden/>
              </w:rPr>
              <w:fldChar w:fldCharType="begin"/>
            </w:r>
            <w:r w:rsidR="006E404D">
              <w:rPr>
                <w:noProof/>
                <w:webHidden/>
              </w:rPr>
              <w:instrText xml:space="preserve"> PAGEREF _Toc99726032 \h </w:instrText>
            </w:r>
            <w:r w:rsidR="006E404D">
              <w:rPr>
                <w:noProof/>
                <w:webHidden/>
              </w:rPr>
            </w:r>
            <w:r w:rsidR="006E404D">
              <w:rPr>
                <w:noProof/>
                <w:webHidden/>
              </w:rPr>
              <w:fldChar w:fldCharType="separate"/>
            </w:r>
            <w:r w:rsidR="00FF77C1">
              <w:rPr>
                <w:noProof/>
                <w:webHidden/>
              </w:rPr>
              <w:t>4</w:t>
            </w:r>
            <w:r w:rsidR="006E404D">
              <w:rPr>
                <w:noProof/>
                <w:webHidden/>
              </w:rPr>
              <w:fldChar w:fldCharType="end"/>
            </w:r>
          </w:hyperlink>
        </w:p>
        <w:p w14:paraId="1B4DEC84" w14:textId="6CA74C75" w:rsidR="006E404D" w:rsidRDefault="00AD7CFE" w:rsidP="00831650">
          <w:pPr>
            <w:pStyle w:val="TOC4"/>
            <w:tabs>
              <w:tab w:val="left" w:pos="1100"/>
              <w:tab w:val="right" w:leader="dot" w:pos="9350"/>
            </w:tabs>
            <w:ind w:left="1080" w:hanging="540"/>
            <w:rPr>
              <w:rFonts w:asciiTheme="minorHAnsi" w:eastAsiaTheme="minorEastAsia" w:hAnsiTheme="minorHAnsi"/>
              <w:noProof/>
              <w:szCs w:val="22"/>
            </w:rPr>
          </w:pPr>
          <w:hyperlink w:anchor="_Toc99726033" w:history="1">
            <w:r w:rsidR="006E404D" w:rsidRPr="00703235">
              <w:rPr>
                <w:rStyle w:val="Hyperlink"/>
                <w:noProof/>
              </w:rPr>
              <w:t>2)</w:t>
            </w:r>
            <w:r w:rsidR="006E404D">
              <w:rPr>
                <w:rFonts w:asciiTheme="minorHAnsi" w:eastAsiaTheme="minorEastAsia" w:hAnsiTheme="minorHAnsi"/>
                <w:noProof/>
                <w:szCs w:val="22"/>
              </w:rPr>
              <w:tab/>
            </w:r>
            <w:r w:rsidR="006E404D" w:rsidRPr="00703235">
              <w:rPr>
                <w:rStyle w:val="Hyperlink"/>
                <w:noProof/>
              </w:rPr>
              <w:t>Explanation of the Benefits Provided by the Rate Change</w:t>
            </w:r>
            <w:r w:rsidR="006E404D">
              <w:rPr>
                <w:noProof/>
                <w:webHidden/>
              </w:rPr>
              <w:tab/>
            </w:r>
            <w:r w:rsidR="006E404D">
              <w:rPr>
                <w:noProof/>
                <w:webHidden/>
              </w:rPr>
              <w:fldChar w:fldCharType="begin"/>
            </w:r>
            <w:r w:rsidR="006E404D">
              <w:rPr>
                <w:noProof/>
                <w:webHidden/>
              </w:rPr>
              <w:instrText xml:space="preserve"> PAGEREF _Toc99726033 \h </w:instrText>
            </w:r>
            <w:r w:rsidR="006E404D">
              <w:rPr>
                <w:noProof/>
                <w:webHidden/>
              </w:rPr>
            </w:r>
            <w:r w:rsidR="006E404D">
              <w:rPr>
                <w:noProof/>
                <w:webHidden/>
              </w:rPr>
              <w:fldChar w:fldCharType="separate"/>
            </w:r>
            <w:r w:rsidR="00FF77C1">
              <w:rPr>
                <w:noProof/>
                <w:webHidden/>
              </w:rPr>
              <w:t>4</w:t>
            </w:r>
            <w:r w:rsidR="006E404D">
              <w:rPr>
                <w:noProof/>
                <w:webHidden/>
              </w:rPr>
              <w:fldChar w:fldCharType="end"/>
            </w:r>
          </w:hyperlink>
        </w:p>
        <w:p w14:paraId="1777534E" w14:textId="007F0C9E" w:rsidR="006E404D" w:rsidRDefault="00AD7CFE" w:rsidP="00831650">
          <w:pPr>
            <w:pStyle w:val="TOC4"/>
            <w:tabs>
              <w:tab w:val="left" w:pos="1100"/>
              <w:tab w:val="right" w:leader="dot" w:pos="9350"/>
            </w:tabs>
            <w:ind w:left="1080" w:hanging="540"/>
            <w:rPr>
              <w:rFonts w:asciiTheme="minorHAnsi" w:eastAsiaTheme="minorEastAsia" w:hAnsiTheme="minorHAnsi"/>
              <w:noProof/>
              <w:szCs w:val="22"/>
            </w:rPr>
          </w:pPr>
          <w:hyperlink w:anchor="_Toc99726034" w:history="1">
            <w:r w:rsidR="006E404D" w:rsidRPr="00703235">
              <w:rPr>
                <w:rStyle w:val="Hyperlink"/>
                <w:noProof/>
              </w:rPr>
              <w:t>3)</w:t>
            </w:r>
            <w:r w:rsidR="006E404D">
              <w:rPr>
                <w:rFonts w:asciiTheme="minorHAnsi" w:eastAsiaTheme="minorEastAsia" w:hAnsiTheme="minorHAnsi"/>
                <w:noProof/>
                <w:szCs w:val="22"/>
              </w:rPr>
              <w:tab/>
            </w:r>
            <w:r w:rsidR="006E404D" w:rsidRPr="00703235">
              <w:rPr>
                <w:rStyle w:val="Hyperlink"/>
                <w:noProof/>
              </w:rPr>
              <w:t>Historical Rate Changes</w:t>
            </w:r>
            <w:r w:rsidR="006E404D">
              <w:rPr>
                <w:noProof/>
                <w:webHidden/>
              </w:rPr>
              <w:tab/>
            </w:r>
            <w:r w:rsidR="006E404D">
              <w:rPr>
                <w:noProof/>
                <w:webHidden/>
              </w:rPr>
              <w:fldChar w:fldCharType="begin"/>
            </w:r>
            <w:r w:rsidR="006E404D">
              <w:rPr>
                <w:noProof/>
                <w:webHidden/>
              </w:rPr>
              <w:instrText xml:space="preserve"> PAGEREF _Toc99726034 \h </w:instrText>
            </w:r>
            <w:r w:rsidR="006E404D">
              <w:rPr>
                <w:noProof/>
                <w:webHidden/>
              </w:rPr>
            </w:r>
            <w:r w:rsidR="006E404D">
              <w:rPr>
                <w:noProof/>
                <w:webHidden/>
              </w:rPr>
              <w:fldChar w:fldCharType="separate"/>
            </w:r>
            <w:r w:rsidR="00FF77C1">
              <w:rPr>
                <w:noProof/>
                <w:webHidden/>
              </w:rPr>
              <w:t>4</w:t>
            </w:r>
            <w:r w:rsidR="006E404D">
              <w:rPr>
                <w:noProof/>
                <w:webHidden/>
              </w:rPr>
              <w:fldChar w:fldCharType="end"/>
            </w:r>
          </w:hyperlink>
        </w:p>
        <w:p w14:paraId="57C39886" w14:textId="7E986DB2" w:rsidR="006E404D" w:rsidRDefault="00AD7CFE" w:rsidP="00831650">
          <w:pPr>
            <w:pStyle w:val="TOC4"/>
            <w:tabs>
              <w:tab w:val="left" w:pos="1100"/>
              <w:tab w:val="right" w:leader="dot" w:pos="9350"/>
            </w:tabs>
            <w:ind w:left="1080" w:hanging="540"/>
            <w:rPr>
              <w:rFonts w:asciiTheme="minorHAnsi" w:eastAsiaTheme="minorEastAsia" w:hAnsiTheme="minorHAnsi"/>
              <w:noProof/>
              <w:szCs w:val="22"/>
            </w:rPr>
          </w:pPr>
          <w:hyperlink w:anchor="_Toc99726035" w:history="1">
            <w:r w:rsidR="006E404D" w:rsidRPr="00703235">
              <w:rPr>
                <w:rStyle w:val="Hyperlink"/>
                <w:noProof/>
              </w:rPr>
              <w:t>4)</w:t>
            </w:r>
            <w:r w:rsidR="006E404D">
              <w:rPr>
                <w:rFonts w:asciiTheme="minorHAnsi" w:eastAsiaTheme="minorEastAsia" w:hAnsiTheme="minorHAnsi"/>
                <w:noProof/>
                <w:szCs w:val="22"/>
              </w:rPr>
              <w:tab/>
            </w:r>
            <w:r w:rsidR="006E404D" w:rsidRPr="00703235">
              <w:rPr>
                <w:rStyle w:val="Hyperlink"/>
                <w:noProof/>
              </w:rPr>
              <w:t>Source of Revenue</w:t>
            </w:r>
            <w:r w:rsidR="006E404D">
              <w:rPr>
                <w:noProof/>
                <w:webHidden/>
              </w:rPr>
              <w:tab/>
            </w:r>
            <w:r w:rsidR="006E404D">
              <w:rPr>
                <w:noProof/>
                <w:webHidden/>
              </w:rPr>
              <w:fldChar w:fldCharType="begin"/>
            </w:r>
            <w:r w:rsidR="006E404D">
              <w:rPr>
                <w:noProof/>
                <w:webHidden/>
              </w:rPr>
              <w:instrText xml:space="preserve"> PAGEREF _Toc99726035 \h </w:instrText>
            </w:r>
            <w:r w:rsidR="006E404D">
              <w:rPr>
                <w:noProof/>
                <w:webHidden/>
              </w:rPr>
            </w:r>
            <w:r w:rsidR="006E404D">
              <w:rPr>
                <w:noProof/>
                <w:webHidden/>
              </w:rPr>
              <w:fldChar w:fldCharType="separate"/>
            </w:r>
            <w:r w:rsidR="00FF77C1">
              <w:rPr>
                <w:noProof/>
                <w:webHidden/>
              </w:rPr>
              <w:t>5</w:t>
            </w:r>
            <w:r w:rsidR="006E404D">
              <w:rPr>
                <w:noProof/>
                <w:webHidden/>
              </w:rPr>
              <w:fldChar w:fldCharType="end"/>
            </w:r>
          </w:hyperlink>
        </w:p>
        <w:p w14:paraId="05BF2792" w14:textId="1BD1E81C" w:rsidR="006E404D" w:rsidRDefault="00AD7CFE" w:rsidP="00831650">
          <w:pPr>
            <w:pStyle w:val="TOC4"/>
            <w:tabs>
              <w:tab w:val="left" w:pos="1100"/>
              <w:tab w:val="right" w:leader="dot" w:pos="9350"/>
            </w:tabs>
            <w:ind w:left="1080" w:hanging="540"/>
            <w:rPr>
              <w:rFonts w:asciiTheme="minorHAnsi" w:eastAsiaTheme="minorEastAsia" w:hAnsiTheme="minorHAnsi"/>
              <w:noProof/>
              <w:szCs w:val="22"/>
            </w:rPr>
          </w:pPr>
          <w:hyperlink w:anchor="_Toc99726036" w:history="1">
            <w:r w:rsidR="006E404D" w:rsidRPr="00703235">
              <w:rPr>
                <w:rStyle w:val="Hyperlink"/>
                <w:noProof/>
              </w:rPr>
              <w:t>5)</w:t>
            </w:r>
            <w:r w:rsidR="006E404D">
              <w:rPr>
                <w:rFonts w:asciiTheme="minorHAnsi" w:eastAsiaTheme="minorEastAsia" w:hAnsiTheme="minorHAnsi"/>
                <w:noProof/>
                <w:szCs w:val="22"/>
              </w:rPr>
              <w:tab/>
            </w:r>
            <w:r w:rsidR="006E404D" w:rsidRPr="00703235">
              <w:rPr>
                <w:rStyle w:val="Hyperlink"/>
                <w:noProof/>
              </w:rPr>
              <w:t>Financial Performance</w:t>
            </w:r>
            <w:r w:rsidR="006E404D">
              <w:rPr>
                <w:noProof/>
                <w:webHidden/>
              </w:rPr>
              <w:tab/>
            </w:r>
            <w:r w:rsidR="006E404D">
              <w:rPr>
                <w:noProof/>
                <w:webHidden/>
              </w:rPr>
              <w:fldChar w:fldCharType="begin"/>
            </w:r>
            <w:r w:rsidR="006E404D">
              <w:rPr>
                <w:noProof/>
                <w:webHidden/>
              </w:rPr>
              <w:instrText xml:space="preserve"> PAGEREF _Toc99726036 \h </w:instrText>
            </w:r>
            <w:r w:rsidR="006E404D">
              <w:rPr>
                <w:noProof/>
                <w:webHidden/>
              </w:rPr>
            </w:r>
            <w:r w:rsidR="006E404D">
              <w:rPr>
                <w:noProof/>
                <w:webHidden/>
              </w:rPr>
              <w:fldChar w:fldCharType="separate"/>
            </w:r>
            <w:r w:rsidR="00FF77C1">
              <w:rPr>
                <w:noProof/>
                <w:webHidden/>
              </w:rPr>
              <w:t>5</w:t>
            </w:r>
            <w:r w:rsidR="006E404D">
              <w:rPr>
                <w:noProof/>
                <w:webHidden/>
              </w:rPr>
              <w:fldChar w:fldCharType="end"/>
            </w:r>
          </w:hyperlink>
        </w:p>
        <w:p w14:paraId="115DCC2E" w14:textId="5A4FAB9F" w:rsidR="006E404D" w:rsidRDefault="00AD7CFE" w:rsidP="00831650">
          <w:pPr>
            <w:pStyle w:val="TOC4"/>
            <w:tabs>
              <w:tab w:val="left" w:pos="1100"/>
              <w:tab w:val="right" w:leader="dot" w:pos="9350"/>
            </w:tabs>
            <w:ind w:left="1080" w:hanging="540"/>
            <w:rPr>
              <w:rFonts w:asciiTheme="minorHAnsi" w:eastAsiaTheme="minorEastAsia" w:hAnsiTheme="minorHAnsi"/>
              <w:noProof/>
              <w:szCs w:val="22"/>
            </w:rPr>
          </w:pPr>
          <w:hyperlink w:anchor="_Toc99726037" w:history="1">
            <w:r w:rsidR="006E404D" w:rsidRPr="00703235">
              <w:rPr>
                <w:rStyle w:val="Hyperlink"/>
                <w:noProof/>
              </w:rPr>
              <w:t>6)</w:t>
            </w:r>
            <w:r w:rsidR="006E404D">
              <w:rPr>
                <w:rFonts w:asciiTheme="minorHAnsi" w:eastAsiaTheme="minorEastAsia" w:hAnsiTheme="minorHAnsi"/>
                <w:noProof/>
                <w:szCs w:val="22"/>
              </w:rPr>
              <w:tab/>
            </w:r>
            <w:r w:rsidR="006E404D" w:rsidRPr="00703235">
              <w:rPr>
                <w:rStyle w:val="Hyperlink"/>
                <w:noProof/>
              </w:rPr>
              <w:t>Budgeted or Forecasted Results</w:t>
            </w:r>
            <w:r w:rsidR="006E404D">
              <w:rPr>
                <w:noProof/>
                <w:webHidden/>
              </w:rPr>
              <w:tab/>
            </w:r>
            <w:r w:rsidR="006E404D">
              <w:rPr>
                <w:noProof/>
                <w:webHidden/>
              </w:rPr>
              <w:fldChar w:fldCharType="begin"/>
            </w:r>
            <w:r w:rsidR="006E404D">
              <w:rPr>
                <w:noProof/>
                <w:webHidden/>
              </w:rPr>
              <w:instrText xml:space="preserve"> PAGEREF _Toc99726037 \h </w:instrText>
            </w:r>
            <w:r w:rsidR="006E404D">
              <w:rPr>
                <w:noProof/>
                <w:webHidden/>
              </w:rPr>
            </w:r>
            <w:r w:rsidR="006E404D">
              <w:rPr>
                <w:noProof/>
                <w:webHidden/>
              </w:rPr>
              <w:fldChar w:fldCharType="separate"/>
            </w:r>
            <w:r w:rsidR="00FF77C1">
              <w:rPr>
                <w:noProof/>
                <w:webHidden/>
              </w:rPr>
              <w:t>6</w:t>
            </w:r>
            <w:r w:rsidR="006E404D">
              <w:rPr>
                <w:noProof/>
                <w:webHidden/>
              </w:rPr>
              <w:fldChar w:fldCharType="end"/>
            </w:r>
          </w:hyperlink>
        </w:p>
        <w:p w14:paraId="566EC6C5" w14:textId="3AF63ED4" w:rsidR="006E404D" w:rsidRDefault="00AD7CFE" w:rsidP="00831650">
          <w:pPr>
            <w:pStyle w:val="TOC4"/>
            <w:tabs>
              <w:tab w:val="left" w:pos="1100"/>
              <w:tab w:val="right" w:leader="dot" w:pos="9350"/>
            </w:tabs>
            <w:ind w:left="1080" w:hanging="540"/>
            <w:rPr>
              <w:rFonts w:asciiTheme="minorHAnsi" w:eastAsiaTheme="minorEastAsia" w:hAnsiTheme="minorHAnsi"/>
              <w:noProof/>
              <w:szCs w:val="22"/>
            </w:rPr>
          </w:pPr>
          <w:hyperlink w:anchor="_Toc99726041" w:history="1">
            <w:r w:rsidR="006E404D" w:rsidRPr="00703235">
              <w:rPr>
                <w:rStyle w:val="Hyperlink"/>
                <w:noProof/>
              </w:rPr>
              <w:t>7)</w:t>
            </w:r>
            <w:r w:rsidR="006E404D">
              <w:rPr>
                <w:rFonts w:asciiTheme="minorHAnsi" w:eastAsiaTheme="minorEastAsia" w:hAnsiTheme="minorHAnsi"/>
                <w:noProof/>
                <w:szCs w:val="22"/>
              </w:rPr>
              <w:tab/>
            </w:r>
            <w:r w:rsidR="006E404D" w:rsidRPr="00703235">
              <w:rPr>
                <w:rStyle w:val="Hyperlink"/>
                <w:noProof/>
              </w:rPr>
              <w:t>Test of Ratio of Costs to Charges (RCC) Reasonableness</w:t>
            </w:r>
            <w:r w:rsidR="006E404D">
              <w:rPr>
                <w:noProof/>
                <w:webHidden/>
              </w:rPr>
              <w:tab/>
            </w:r>
            <w:r w:rsidR="006E404D">
              <w:rPr>
                <w:noProof/>
                <w:webHidden/>
              </w:rPr>
              <w:fldChar w:fldCharType="begin"/>
            </w:r>
            <w:r w:rsidR="006E404D">
              <w:rPr>
                <w:noProof/>
                <w:webHidden/>
              </w:rPr>
              <w:instrText xml:space="preserve"> PAGEREF _Toc99726041 \h </w:instrText>
            </w:r>
            <w:r w:rsidR="006E404D">
              <w:rPr>
                <w:noProof/>
                <w:webHidden/>
              </w:rPr>
            </w:r>
            <w:r w:rsidR="006E404D">
              <w:rPr>
                <w:noProof/>
                <w:webHidden/>
              </w:rPr>
              <w:fldChar w:fldCharType="separate"/>
            </w:r>
            <w:r w:rsidR="00FF77C1">
              <w:rPr>
                <w:noProof/>
                <w:webHidden/>
              </w:rPr>
              <w:t>6</w:t>
            </w:r>
            <w:r w:rsidR="006E404D">
              <w:rPr>
                <w:noProof/>
                <w:webHidden/>
              </w:rPr>
              <w:fldChar w:fldCharType="end"/>
            </w:r>
          </w:hyperlink>
        </w:p>
        <w:p w14:paraId="72CC4709" w14:textId="737AD126" w:rsidR="006E404D" w:rsidRDefault="00AD7CFE" w:rsidP="00831650">
          <w:pPr>
            <w:pStyle w:val="TOC4"/>
            <w:tabs>
              <w:tab w:val="left" w:pos="1100"/>
              <w:tab w:val="right" w:leader="dot" w:pos="9350"/>
            </w:tabs>
            <w:ind w:left="1080" w:hanging="540"/>
            <w:rPr>
              <w:rFonts w:asciiTheme="minorHAnsi" w:eastAsiaTheme="minorEastAsia" w:hAnsiTheme="minorHAnsi"/>
              <w:noProof/>
              <w:szCs w:val="22"/>
            </w:rPr>
          </w:pPr>
          <w:hyperlink w:anchor="_Toc99726042" w:history="1">
            <w:r w:rsidR="006E404D" w:rsidRPr="00703235">
              <w:rPr>
                <w:rStyle w:val="Hyperlink"/>
                <w:noProof/>
              </w:rPr>
              <w:t>8)</w:t>
            </w:r>
            <w:r w:rsidR="006E404D">
              <w:rPr>
                <w:rFonts w:asciiTheme="minorHAnsi" w:eastAsiaTheme="minorEastAsia" w:hAnsiTheme="minorHAnsi"/>
                <w:noProof/>
                <w:szCs w:val="22"/>
              </w:rPr>
              <w:tab/>
            </w:r>
            <w:r w:rsidR="006E404D" w:rsidRPr="00703235">
              <w:rPr>
                <w:rStyle w:val="Hyperlink"/>
                <w:noProof/>
              </w:rPr>
              <w:t>Rate Comparison</w:t>
            </w:r>
            <w:r w:rsidR="006E404D">
              <w:rPr>
                <w:noProof/>
                <w:webHidden/>
              </w:rPr>
              <w:tab/>
            </w:r>
            <w:r w:rsidR="006E404D">
              <w:rPr>
                <w:noProof/>
                <w:webHidden/>
              </w:rPr>
              <w:fldChar w:fldCharType="begin"/>
            </w:r>
            <w:r w:rsidR="006E404D">
              <w:rPr>
                <w:noProof/>
                <w:webHidden/>
              </w:rPr>
              <w:instrText xml:space="preserve"> PAGEREF _Toc99726042 \h </w:instrText>
            </w:r>
            <w:r w:rsidR="006E404D">
              <w:rPr>
                <w:noProof/>
                <w:webHidden/>
              </w:rPr>
            </w:r>
            <w:r w:rsidR="006E404D">
              <w:rPr>
                <w:noProof/>
                <w:webHidden/>
              </w:rPr>
              <w:fldChar w:fldCharType="separate"/>
            </w:r>
            <w:r w:rsidR="00FF77C1">
              <w:rPr>
                <w:noProof/>
                <w:webHidden/>
              </w:rPr>
              <w:t>7</w:t>
            </w:r>
            <w:r w:rsidR="006E404D">
              <w:rPr>
                <w:noProof/>
                <w:webHidden/>
              </w:rPr>
              <w:fldChar w:fldCharType="end"/>
            </w:r>
          </w:hyperlink>
        </w:p>
        <w:p w14:paraId="21CE0B73" w14:textId="7DA5C567" w:rsidR="006E404D" w:rsidRDefault="00AD7CFE" w:rsidP="00831650">
          <w:pPr>
            <w:pStyle w:val="TOC4"/>
            <w:tabs>
              <w:tab w:val="left" w:pos="1100"/>
              <w:tab w:val="right" w:leader="dot" w:pos="9350"/>
            </w:tabs>
            <w:ind w:left="1080" w:hanging="540"/>
            <w:rPr>
              <w:rFonts w:asciiTheme="minorHAnsi" w:eastAsiaTheme="minorEastAsia" w:hAnsiTheme="minorHAnsi"/>
              <w:noProof/>
              <w:szCs w:val="22"/>
            </w:rPr>
          </w:pPr>
          <w:hyperlink w:anchor="_Toc99726044" w:history="1">
            <w:r w:rsidR="006E404D" w:rsidRPr="00703235">
              <w:rPr>
                <w:rStyle w:val="Hyperlink"/>
                <w:noProof/>
              </w:rPr>
              <w:t>9)</w:t>
            </w:r>
            <w:r w:rsidR="006E404D">
              <w:rPr>
                <w:rFonts w:asciiTheme="minorHAnsi" w:eastAsiaTheme="minorEastAsia" w:hAnsiTheme="minorHAnsi"/>
                <w:noProof/>
                <w:szCs w:val="22"/>
              </w:rPr>
              <w:tab/>
            </w:r>
            <w:r w:rsidR="006E404D" w:rsidRPr="00703235">
              <w:rPr>
                <w:rStyle w:val="Hyperlink"/>
                <w:noProof/>
              </w:rPr>
              <w:t>Other Comparison</w:t>
            </w:r>
            <w:r w:rsidR="006E404D">
              <w:rPr>
                <w:noProof/>
                <w:webHidden/>
              </w:rPr>
              <w:tab/>
            </w:r>
            <w:r w:rsidR="006E404D">
              <w:rPr>
                <w:noProof/>
                <w:webHidden/>
              </w:rPr>
              <w:fldChar w:fldCharType="begin"/>
            </w:r>
            <w:r w:rsidR="006E404D">
              <w:rPr>
                <w:noProof/>
                <w:webHidden/>
              </w:rPr>
              <w:instrText xml:space="preserve"> PAGEREF _Toc99726044 \h </w:instrText>
            </w:r>
            <w:r w:rsidR="006E404D">
              <w:rPr>
                <w:noProof/>
                <w:webHidden/>
              </w:rPr>
            </w:r>
            <w:r w:rsidR="006E404D">
              <w:rPr>
                <w:noProof/>
                <w:webHidden/>
              </w:rPr>
              <w:fldChar w:fldCharType="separate"/>
            </w:r>
            <w:r w:rsidR="00FF77C1">
              <w:rPr>
                <w:noProof/>
                <w:webHidden/>
              </w:rPr>
              <w:t>7</w:t>
            </w:r>
            <w:r w:rsidR="006E404D">
              <w:rPr>
                <w:noProof/>
                <w:webHidden/>
              </w:rPr>
              <w:fldChar w:fldCharType="end"/>
            </w:r>
          </w:hyperlink>
        </w:p>
        <w:p w14:paraId="7899F2E5" w14:textId="33603081" w:rsidR="006E404D" w:rsidRDefault="00AD7CFE" w:rsidP="00831650">
          <w:pPr>
            <w:pStyle w:val="TOC4"/>
            <w:tabs>
              <w:tab w:val="left" w:pos="1320"/>
              <w:tab w:val="right" w:leader="dot" w:pos="9350"/>
            </w:tabs>
            <w:ind w:left="1037" w:hanging="634"/>
            <w:rPr>
              <w:rFonts w:asciiTheme="minorHAnsi" w:eastAsiaTheme="minorEastAsia" w:hAnsiTheme="minorHAnsi"/>
              <w:noProof/>
              <w:szCs w:val="22"/>
            </w:rPr>
          </w:pPr>
          <w:hyperlink w:anchor="_Toc99726055" w:history="1">
            <w:r w:rsidR="006E404D" w:rsidRPr="00703235">
              <w:rPr>
                <w:rStyle w:val="Hyperlink"/>
                <w:noProof/>
              </w:rPr>
              <w:t>10)</w:t>
            </w:r>
            <w:r w:rsidR="006E404D">
              <w:rPr>
                <w:rFonts w:asciiTheme="minorHAnsi" w:eastAsiaTheme="minorEastAsia" w:hAnsiTheme="minorHAnsi"/>
                <w:noProof/>
                <w:szCs w:val="22"/>
              </w:rPr>
              <w:tab/>
            </w:r>
            <w:r w:rsidR="006E404D" w:rsidRPr="00703235">
              <w:rPr>
                <w:rStyle w:val="Hyperlink"/>
                <w:noProof/>
              </w:rPr>
              <w:t>Supporting Documentation</w:t>
            </w:r>
            <w:r w:rsidR="006E404D">
              <w:rPr>
                <w:noProof/>
                <w:webHidden/>
              </w:rPr>
              <w:tab/>
            </w:r>
            <w:r w:rsidR="006E404D">
              <w:rPr>
                <w:noProof/>
                <w:webHidden/>
              </w:rPr>
              <w:fldChar w:fldCharType="begin"/>
            </w:r>
            <w:r w:rsidR="006E404D">
              <w:rPr>
                <w:noProof/>
                <w:webHidden/>
              </w:rPr>
              <w:instrText xml:space="preserve"> PAGEREF _Toc99726055 \h </w:instrText>
            </w:r>
            <w:r w:rsidR="006E404D">
              <w:rPr>
                <w:noProof/>
                <w:webHidden/>
              </w:rPr>
            </w:r>
            <w:r w:rsidR="006E404D">
              <w:rPr>
                <w:noProof/>
                <w:webHidden/>
              </w:rPr>
              <w:fldChar w:fldCharType="separate"/>
            </w:r>
            <w:r w:rsidR="00FF77C1">
              <w:rPr>
                <w:noProof/>
                <w:webHidden/>
              </w:rPr>
              <w:t>8</w:t>
            </w:r>
            <w:r w:rsidR="006E404D">
              <w:rPr>
                <w:noProof/>
                <w:webHidden/>
              </w:rPr>
              <w:fldChar w:fldCharType="end"/>
            </w:r>
          </w:hyperlink>
        </w:p>
        <w:p w14:paraId="45083D44" w14:textId="65B95B89" w:rsidR="006E404D" w:rsidRDefault="00AD7CFE" w:rsidP="00831650">
          <w:pPr>
            <w:pStyle w:val="TOC4"/>
            <w:tabs>
              <w:tab w:val="left" w:pos="1320"/>
              <w:tab w:val="right" w:leader="dot" w:pos="9350"/>
            </w:tabs>
            <w:ind w:left="1037" w:hanging="634"/>
            <w:rPr>
              <w:rFonts w:asciiTheme="minorHAnsi" w:eastAsiaTheme="minorEastAsia" w:hAnsiTheme="minorHAnsi"/>
              <w:noProof/>
              <w:szCs w:val="22"/>
            </w:rPr>
          </w:pPr>
          <w:hyperlink w:anchor="_Toc99726057" w:history="1">
            <w:r w:rsidR="006E404D" w:rsidRPr="00703235">
              <w:rPr>
                <w:rStyle w:val="Hyperlink"/>
                <w:noProof/>
              </w:rPr>
              <w:t>11)</w:t>
            </w:r>
            <w:r w:rsidR="006E404D">
              <w:rPr>
                <w:rFonts w:asciiTheme="minorHAnsi" w:eastAsiaTheme="minorEastAsia" w:hAnsiTheme="minorHAnsi"/>
                <w:noProof/>
                <w:szCs w:val="22"/>
              </w:rPr>
              <w:tab/>
            </w:r>
            <w:r w:rsidR="006E404D" w:rsidRPr="00703235">
              <w:rPr>
                <w:rStyle w:val="Hyperlink"/>
                <w:noProof/>
              </w:rPr>
              <w:t>Required Certification</w:t>
            </w:r>
            <w:r w:rsidR="006E404D">
              <w:rPr>
                <w:noProof/>
                <w:webHidden/>
              </w:rPr>
              <w:tab/>
            </w:r>
            <w:r w:rsidR="006E404D">
              <w:rPr>
                <w:noProof/>
                <w:webHidden/>
              </w:rPr>
              <w:fldChar w:fldCharType="begin"/>
            </w:r>
            <w:r w:rsidR="006E404D">
              <w:rPr>
                <w:noProof/>
                <w:webHidden/>
              </w:rPr>
              <w:instrText xml:space="preserve"> PAGEREF _Toc99726057 \h </w:instrText>
            </w:r>
            <w:r w:rsidR="006E404D">
              <w:rPr>
                <w:noProof/>
                <w:webHidden/>
              </w:rPr>
            </w:r>
            <w:r w:rsidR="006E404D">
              <w:rPr>
                <w:noProof/>
                <w:webHidden/>
              </w:rPr>
              <w:fldChar w:fldCharType="separate"/>
            </w:r>
            <w:r w:rsidR="00FF77C1">
              <w:rPr>
                <w:noProof/>
                <w:webHidden/>
              </w:rPr>
              <w:t>8</w:t>
            </w:r>
            <w:r w:rsidR="006E404D">
              <w:rPr>
                <w:noProof/>
                <w:webHidden/>
              </w:rPr>
              <w:fldChar w:fldCharType="end"/>
            </w:r>
          </w:hyperlink>
        </w:p>
        <w:p w14:paraId="0B0CFB97" w14:textId="77777777" w:rsidR="00FF77C1" w:rsidRDefault="002E2998">
          <w:pPr>
            <w:rPr>
              <w:b/>
              <w:bCs/>
              <w:noProof/>
            </w:rPr>
          </w:pPr>
          <w:r>
            <w:rPr>
              <w:rFonts w:asciiTheme="majorHAnsi" w:hAnsiTheme="majorHAnsi"/>
              <w:b/>
            </w:rPr>
            <w:fldChar w:fldCharType="end"/>
          </w:r>
        </w:p>
      </w:sdtContent>
    </w:sdt>
    <w:p w14:paraId="4CD3992C" w14:textId="0C1C777F" w:rsidR="00037AA8" w:rsidRPr="00263CF7" w:rsidRDefault="00037AA8" w:rsidP="00767089">
      <w:pPr>
        <w:pStyle w:val="Heading3"/>
      </w:pPr>
      <w:r>
        <w:br w:type="page"/>
      </w:r>
      <w:bookmarkStart w:id="1" w:name="_Toc99726030"/>
      <w:r w:rsidR="00645D4F">
        <w:t>Overview</w:t>
      </w:r>
      <w:bookmarkEnd w:id="1"/>
    </w:p>
    <w:p w14:paraId="19BEFBEE" w14:textId="0AB70E2F" w:rsidR="00616F54" w:rsidRPr="0043266E" w:rsidRDefault="007F0352" w:rsidP="0043266E">
      <w:pPr>
        <w:pStyle w:val="BodyText"/>
        <w:spacing w:line="276" w:lineRule="auto"/>
        <w:rPr>
          <w:rFonts w:eastAsia="Times New Roman" w:cs="Times New Roman"/>
          <w:sz w:val="24"/>
          <w:szCs w:val="24"/>
        </w:rPr>
      </w:pPr>
      <w:r>
        <w:rPr>
          <w:sz w:val="24"/>
          <w:szCs w:val="24"/>
        </w:rPr>
        <w:t>T</w:t>
      </w:r>
      <w:r w:rsidRPr="00E8300E">
        <w:rPr>
          <w:sz w:val="24"/>
          <w:szCs w:val="24"/>
        </w:rPr>
        <w:t>he Texas Health and Human Services Commission (</w:t>
      </w:r>
      <w:r w:rsidR="00616F54" w:rsidRPr="00C578C0">
        <w:t>HHSC</w:t>
      </w:r>
      <w:r>
        <w:t>)</w:t>
      </w:r>
      <w:r w:rsidR="00616F54" w:rsidRPr="00C578C0">
        <w:t xml:space="preserve"> </w:t>
      </w:r>
      <w:r w:rsidR="00616F54" w:rsidRPr="0043266E">
        <w:rPr>
          <w:rFonts w:eastAsia="Times New Roman" w:cs="Times New Roman"/>
          <w:sz w:val="24"/>
          <w:szCs w:val="24"/>
        </w:rPr>
        <w:t>shall approve the proposed rate change if HHSC determines:</w:t>
      </w:r>
    </w:p>
    <w:p w14:paraId="134E9F18" w14:textId="77777777" w:rsidR="00AD144E" w:rsidRPr="00E8300E" w:rsidRDefault="00AD144E" w:rsidP="0043266E">
      <w:pPr>
        <w:spacing w:line="276" w:lineRule="auto"/>
        <w:ind w:left="1170" w:hanging="450"/>
        <w:rPr>
          <w:rFonts w:eastAsia="Times New Roman" w:cs="Times New Roman"/>
          <w:sz w:val="24"/>
          <w:szCs w:val="24"/>
        </w:rPr>
      </w:pPr>
      <w:r w:rsidRPr="00E8300E">
        <w:rPr>
          <w:rFonts w:eastAsia="Times New Roman" w:cs="Times New Roman"/>
          <w:sz w:val="24"/>
          <w:szCs w:val="24"/>
        </w:rPr>
        <w:t>(1) the proposed rate change likely benefits the public by maintaining or improving the quality, efficiency, and accessibility of health care services offered to the public; and</w:t>
      </w:r>
    </w:p>
    <w:p w14:paraId="35508C5F" w14:textId="2BA7C784" w:rsidR="00AD144E" w:rsidRPr="00E8300E" w:rsidRDefault="00AD144E" w:rsidP="0043266E">
      <w:pPr>
        <w:pStyle w:val="BodyText"/>
        <w:spacing w:before="160" w:after="160" w:line="276" w:lineRule="auto"/>
        <w:ind w:left="1170" w:hanging="450"/>
        <w:rPr>
          <w:rFonts w:eastAsia="Times New Roman" w:cs="Times New Roman"/>
          <w:sz w:val="24"/>
          <w:szCs w:val="24"/>
        </w:rPr>
      </w:pPr>
      <w:r w:rsidRPr="00E8300E">
        <w:rPr>
          <w:rFonts w:eastAsia="Times New Roman" w:cs="Times New Roman"/>
          <w:sz w:val="24"/>
          <w:szCs w:val="24"/>
        </w:rPr>
        <w:t xml:space="preserve">(2) the proposed rate does not inappropriately exceed competitive rates for comparable services in the </w:t>
      </w:r>
      <w:r w:rsidR="00682CA0" w:rsidRPr="00E8300E">
        <w:rPr>
          <w:rFonts w:eastAsia="Times New Roman" w:cs="Times New Roman"/>
          <w:sz w:val="24"/>
          <w:szCs w:val="24"/>
        </w:rPr>
        <w:t>hospital</w:t>
      </w:r>
      <w:r w:rsidR="00682CA0">
        <w:rPr>
          <w:rFonts w:eastAsia="Times New Roman" w:cs="Times New Roman"/>
          <w:sz w:val="24"/>
          <w:szCs w:val="24"/>
        </w:rPr>
        <w:t>’</w:t>
      </w:r>
      <w:r w:rsidR="00682CA0" w:rsidRPr="00E8300E">
        <w:rPr>
          <w:rFonts w:eastAsia="Times New Roman" w:cs="Times New Roman"/>
          <w:sz w:val="24"/>
          <w:szCs w:val="24"/>
        </w:rPr>
        <w:t xml:space="preserve">s </w:t>
      </w:r>
      <w:r w:rsidRPr="00E8300E">
        <w:rPr>
          <w:rFonts w:eastAsia="Times New Roman" w:cs="Times New Roman"/>
          <w:sz w:val="24"/>
          <w:szCs w:val="24"/>
        </w:rPr>
        <w:t>market area.</w:t>
      </w:r>
    </w:p>
    <w:p w14:paraId="1F6FE9C9" w14:textId="7BA2B963" w:rsidR="00037AA8" w:rsidRPr="00263CF7" w:rsidRDefault="0043266E" w:rsidP="0043266E">
      <w:pPr>
        <w:pStyle w:val="BodyText"/>
        <w:spacing w:before="160" w:after="160" w:line="276" w:lineRule="auto"/>
        <w:rPr>
          <w:sz w:val="24"/>
          <w:szCs w:val="24"/>
        </w:rPr>
      </w:pPr>
      <w:r>
        <w:rPr>
          <w:sz w:val="24"/>
          <w:szCs w:val="24"/>
        </w:rPr>
        <w:t>T</w:t>
      </w:r>
      <w:r w:rsidR="00037AA8" w:rsidRPr="00E8300E">
        <w:rPr>
          <w:sz w:val="24"/>
          <w:szCs w:val="24"/>
        </w:rPr>
        <w:t xml:space="preserve">his application </w:t>
      </w:r>
      <w:r w:rsidR="00335EB8" w:rsidRPr="00EF7823">
        <w:rPr>
          <w:sz w:val="24"/>
          <w:szCs w:val="24"/>
        </w:rPr>
        <w:t>must</w:t>
      </w:r>
      <w:r w:rsidR="00335EB8" w:rsidRPr="00E8300E">
        <w:rPr>
          <w:sz w:val="24"/>
          <w:szCs w:val="24"/>
        </w:rPr>
        <w:t xml:space="preserve"> </w:t>
      </w:r>
      <w:r w:rsidR="00037AA8" w:rsidRPr="00E8300E">
        <w:rPr>
          <w:sz w:val="24"/>
          <w:szCs w:val="24"/>
        </w:rPr>
        <w:t xml:space="preserve">provide HHSC with sufficient information required to </w:t>
      </w:r>
      <w:r w:rsidR="00037AA8" w:rsidRPr="00263CF7">
        <w:rPr>
          <w:sz w:val="24"/>
          <w:szCs w:val="24"/>
        </w:rPr>
        <w:t xml:space="preserve">consider the requested rate </w:t>
      </w:r>
      <w:r w:rsidR="00AD144E">
        <w:rPr>
          <w:sz w:val="24"/>
          <w:szCs w:val="24"/>
        </w:rPr>
        <w:t xml:space="preserve">change </w:t>
      </w:r>
      <w:r w:rsidR="00037AA8" w:rsidRPr="00263CF7">
        <w:rPr>
          <w:sz w:val="24"/>
          <w:szCs w:val="24"/>
        </w:rPr>
        <w:t>under the two criteria above.</w:t>
      </w:r>
    </w:p>
    <w:p w14:paraId="2E15A5E5" w14:textId="65E6BC7D" w:rsidR="00037AA8" w:rsidRDefault="00037AA8" w:rsidP="0043266E">
      <w:pPr>
        <w:pStyle w:val="BodyText"/>
        <w:spacing w:before="160" w:after="160" w:line="276" w:lineRule="auto"/>
        <w:rPr>
          <w:sz w:val="24"/>
          <w:szCs w:val="24"/>
        </w:rPr>
      </w:pPr>
      <w:r w:rsidRPr="00263CF7">
        <w:rPr>
          <w:sz w:val="24"/>
          <w:szCs w:val="24"/>
        </w:rPr>
        <w:t xml:space="preserve">A complete application including exhibits, schedules, documents, and other requested information should be loaded into </w:t>
      </w:r>
      <w:r w:rsidR="00335EB8">
        <w:rPr>
          <w:sz w:val="24"/>
          <w:szCs w:val="24"/>
        </w:rPr>
        <w:t xml:space="preserve">an </w:t>
      </w:r>
      <w:r w:rsidRPr="00263CF7">
        <w:rPr>
          <w:sz w:val="24"/>
          <w:szCs w:val="24"/>
        </w:rPr>
        <w:t xml:space="preserve">electronic portal, one for the complete version and one for the redacted public version. </w:t>
      </w:r>
      <w:r w:rsidR="00682CA0">
        <w:rPr>
          <w:sz w:val="24"/>
          <w:szCs w:val="24"/>
        </w:rPr>
        <w:t>HHSC will provide access to the portal</w:t>
      </w:r>
      <w:r w:rsidRPr="00263CF7">
        <w:rPr>
          <w:sz w:val="24"/>
          <w:szCs w:val="24"/>
        </w:rPr>
        <w:t xml:space="preserve">. Please contact the Provider Finance </w:t>
      </w:r>
      <w:r w:rsidR="00D71061">
        <w:rPr>
          <w:sz w:val="24"/>
          <w:szCs w:val="24"/>
        </w:rPr>
        <w:t>Department</w:t>
      </w:r>
      <w:r w:rsidR="00D71061" w:rsidRPr="00263CF7">
        <w:rPr>
          <w:sz w:val="24"/>
          <w:szCs w:val="24"/>
        </w:rPr>
        <w:t xml:space="preserve"> </w:t>
      </w:r>
      <w:r w:rsidRPr="00263CF7">
        <w:rPr>
          <w:sz w:val="24"/>
          <w:szCs w:val="24"/>
        </w:rPr>
        <w:t xml:space="preserve">Hospitals </w:t>
      </w:r>
      <w:r w:rsidR="00D71061">
        <w:rPr>
          <w:sz w:val="24"/>
          <w:szCs w:val="24"/>
        </w:rPr>
        <w:t>team</w:t>
      </w:r>
      <w:r w:rsidR="00D71061" w:rsidRPr="00263CF7">
        <w:rPr>
          <w:sz w:val="24"/>
          <w:szCs w:val="24"/>
        </w:rPr>
        <w:t xml:space="preserve"> </w:t>
      </w:r>
      <w:r w:rsidRPr="00263CF7">
        <w:rPr>
          <w:sz w:val="24"/>
          <w:szCs w:val="24"/>
        </w:rPr>
        <w:t>(pfd_hospitals@hhsc.state.tx.us) for submission instructions.</w:t>
      </w:r>
    </w:p>
    <w:p w14:paraId="5DFF438A" w14:textId="644109E6" w:rsidR="00393748" w:rsidRDefault="00393748" w:rsidP="0043266E">
      <w:pPr>
        <w:pStyle w:val="BodyText"/>
        <w:spacing w:before="160" w:after="160" w:line="276" w:lineRule="auto"/>
        <w:rPr>
          <w:sz w:val="24"/>
          <w:szCs w:val="24"/>
        </w:rPr>
      </w:pPr>
      <w:r>
        <w:rPr>
          <w:sz w:val="24"/>
          <w:szCs w:val="24"/>
        </w:rPr>
        <w:t xml:space="preserve">The completed application must be </w:t>
      </w:r>
      <w:r w:rsidR="006A147C" w:rsidRPr="00C578C0">
        <w:rPr>
          <w:sz w:val="24"/>
          <w:szCs w:val="24"/>
        </w:rPr>
        <w:t>submitted</w:t>
      </w:r>
      <w:r w:rsidR="006A147C">
        <w:rPr>
          <w:sz w:val="24"/>
          <w:szCs w:val="24"/>
        </w:rPr>
        <w:t xml:space="preserve"> as described above </w:t>
      </w:r>
      <w:r>
        <w:rPr>
          <w:sz w:val="24"/>
          <w:szCs w:val="24"/>
        </w:rPr>
        <w:t xml:space="preserve">at least 90 days </w:t>
      </w:r>
      <w:r w:rsidR="00FA7E82">
        <w:rPr>
          <w:sz w:val="24"/>
          <w:szCs w:val="24"/>
        </w:rPr>
        <w:t>before</w:t>
      </w:r>
      <w:r>
        <w:rPr>
          <w:sz w:val="24"/>
          <w:szCs w:val="24"/>
        </w:rPr>
        <w:t xml:space="preserve"> the intended effective date of the rate change.</w:t>
      </w:r>
    </w:p>
    <w:p w14:paraId="3FE26281" w14:textId="2D4C8184" w:rsidR="005775B6" w:rsidRDefault="00AD3E3D" w:rsidP="00FF77C1">
      <w:r>
        <w:br w:type="page"/>
      </w:r>
      <w:r w:rsidR="0061458D">
        <w:t xml:space="preserve"> </w:t>
      </w:r>
      <w:bookmarkStart w:id="2" w:name="_Toc99726031"/>
      <w:r w:rsidR="006D3373">
        <w:t>Application</w:t>
      </w:r>
      <w:bookmarkEnd w:id="2"/>
      <w:r w:rsidR="005775B6">
        <w:t xml:space="preserve"> </w:t>
      </w:r>
    </w:p>
    <w:p w14:paraId="68A781A3" w14:textId="767E1984" w:rsidR="00037AA8" w:rsidRPr="00512F72" w:rsidRDefault="00483B78" w:rsidP="0043266E">
      <w:pPr>
        <w:pStyle w:val="Heading4"/>
        <w:numPr>
          <w:ilvl w:val="0"/>
          <w:numId w:val="13"/>
        </w:numPr>
        <w:spacing w:before="360"/>
        <w:ind w:left="1454" w:hanging="907"/>
        <w:rPr>
          <w:sz w:val="28"/>
          <w:szCs w:val="28"/>
        </w:rPr>
      </w:pPr>
      <w:bookmarkStart w:id="3" w:name="_Toc99726032"/>
      <w:r>
        <w:rPr>
          <w:sz w:val="28"/>
          <w:szCs w:val="28"/>
        </w:rPr>
        <w:t xml:space="preserve">Hospital </w:t>
      </w:r>
      <w:r w:rsidR="00037AA8" w:rsidRPr="00512F72">
        <w:rPr>
          <w:sz w:val="28"/>
          <w:szCs w:val="28"/>
        </w:rPr>
        <w:t xml:space="preserve">Rate </w:t>
      </w:r>
      <w:r w:rsidR="009A104E">
        <w:rPr>
          <w:sz w:val="28"/>
          <w:szCs w:val="28"/>
        </w:rPr>
        <w:t>Change</w:t>
      </w:r>
      <w:r w:rsidR="009A104E" w:rsidRPr="00512F72">
        <w:rPr>
          <w:sz w:val="28"/>
          <w:szCs w:val="28"/>
        </w:rPr>
        <w:t xml:space="preserve"> </w:t>
      </w:r>
      <w:r w:rsidR="00037AA8" w:rsidRPr="00C578C0">
        <w:rPr>
          <w:sz w:val="28"/>
          <w:szCs w:val="28"/>
        </w:rPr>
        <w:t>Request</w:t>
      </w:r>
      <w:bookmarkEnd w:id="3"/>
    </w:p>
    <w:p w14:paraId="5143E045" w14:textId="1B9B66A4" w:rsidR="00994859" w:rsidRPr="00994859" w:rsidRDefault="00E8300E" w:rsidP="00F27BD7">
      <w:pPr>
        <w:pStyle w:val="BodyText"/>
        <w:numPr>
          <w:ilvl w:val="2"/>
          <w:numId w:val="18"/>
        </w:numPr>
        <w:spacing w:before="160" w:after="160"/>
        <w:ind w:left="1440"/>
        <w:rPr>
          <w:sz w:val="24"/>
          <w:szCs w:val="24"/>
        </w:rPr>
      </w:pPr>
      <w:r>
        <w:rPr>
          <w:sz w:val="24"/>
          <w:szCs w:val="24"/>
        </w:rPr>
        <w:t>Enter p</w:t>
      </w:r>
      <w:r w:rsidR="00037AA8" w:rsidRPr="00263CF7">
        <w:rPr>
          <w:sz w:val="24"/>
          <w:szCs w:val="24"/>
        </w:rPr>
        <w:t xml:space="preserve">ercent rate </w:t>
      </w:r>
      <w:r w:rsidR="009A104E">
        <w:rPr>
          <w:sz w:val="24"/>
          <w:szCs w:val="24"/>
        </w:rPr>
        <w:t>change</w:t>
      </w:r>
      <w:r w:rsidR="009A104E" w:rsidRPr="00263CF7">
        <w:rPr>
          <w:sz w:val="24"/>
          <w:szCs w:val="24"/>
        </w:rPr>
        <w:t xml:space="preserve"> </w:t>
      </w:r>
      <w:r w:rsidR="00037AA8" w:rsidRPr="00263CF7">
        <w:rPr>
          <w:sz w:val="24"/>
          <w:szCs w:val="24"/>
        </w:rPr>
        <w:t xml:space="preserve">requested. </w:t>
      </w:r>
      <w:r w:rsidR="00334B94" w:rsidRPr="009F3A6D">
        <w:rPr>
          <w:sz w:val="24"/>
          <w:szCs w:val="24"/>
          <w:u w:val="single"/>
        </w:rPr>
        <w:fldChar w:fldCharType="begin">
          <w:ffData>
            <w:name w:val="Text2"/>
            <w:enabled/>
            <w:calcOnExit w:val="0"/>
            <w:textInput/>
          </w:ffData>
        </w:fldChar>
      </w:r>
      <w:bookmarkStart w:id="4" w:name="Text2"/>
      <w:r w:rsidR="00334B94" w:rsidRPr="009F3A6D">
        <w:rPr>
          <w:sz w:val="24"/>
          <w:szCs w:val="24"/>
          <w:u w:val="single"/>
        </w:rPr>
        <w:instrText xml:space="preserve"> FORMTEXT </w:instrText>
      </w:r>
      <w:r w:rsidR="00334B94" w:rsidRPr="009F3A6D">
        <w:rPr>
          <w:sz w:val="24"/>
          <w:szCs w:val="24"/>
          <w:u w:val="single"/>
        </w:rPr>
      </w:r>
      <w:r w:rsidR="00334B94" w:rsidRPr="009F3A6D">
        <w:rPr>
          <w:sz w:val="24"/>
          <w:szCs w:val="24"/>
          <w:u w:val="single"/>
        </w:rPr>
        <w:fldChar w:fldCharType="separate"/>
      </w:r>
      <w:r w:rsidR="00334B94" w:rsidRPr="009F3A6D">
        <w:rPr>
          <w:noProof/>
          <w:sz w:val="24"/>
          <w:szCs w:val="24"/>
          <w:u w:val="single"/>
        </w:rPr>
        <w:t> </w:t>
      </w:r>
      <w:r w:rsidR="00334B94" w:rsidRPr="009F3A6D">
        <w:rPr>
          <w:noProof/>
          <w:sz w:val="24"/>
          <w:szCs w:val="24"/>
          <w:u w:val="single"/>
        </w:rPr>
        <w:t> </w:t>
      </w:r>
      <w:r w:rsidR="00334B94" w:rsidRPr="009F3A6D">
        <w:rPr>
          <w:noProof/>
          <w:sz w:val="24"/>
          <w:szCs w:val="24"/>
          <w:u w:val="single"/>
        </w:rPr>
        <w:t> </w:t>
      </w:r>
      <w:r w:rsidR="00334B94" w:rsidRPr="009F3A6D">
        <w:rPr>
          <w:noProof/>
          <w:sz w:val="24"/>
          <w:szCs w:val="24"/>
          <w:u w:val="single"/>
        </w:rPr>
        <w:t> </w:t>
      </w:r>
      <w:r w:rsidR="00334B94" w:rsidRPr="009F3A6D">
        <w:rPr>
          <w:noProof/>
          <w:sz w:val="24"/>
          <w:szCs w:val="24"/>
          <w:u w:val="single"/>
        </w:rPr>
        <w:t> </w:t>
      </w:r>
      <w:r w:rsidR="00334B94" w:rsidRPr="009F3A6D">
        <w:rPr>
          <w:sz w:val="24"/>
          <w:szCs w:val="24"/>
          <w:u w:val="single"/>
        </w:rPr>
        <w:fldChar w:fldCharType="end"/>
      </w:r>
      <w:bookmarkEnd w:id="4"/>
      <w:r w:rsidR="00037AA8" w:rsidRPr="00263CF7">
        <w:rPr>
          <w:sz w:val="24"/>
          <w:szCs w:val="24"/>
        </w:rPr>
        <w:t>%</w:t>
      </w:r>
    </w:p>
    <w:p w14:paraId="1699EB1A" w14:textId="0659AB05" w:rsidR="00037AA8" w:rsidRPr="00994859" w:rsidRDefault="00037AA8" w:rsidP="00F27BD7">
      <w:pPr>
        <w:pStyle w:val="BodyText"/>
        <w:numPr>
          <w:ilvl w:val="2"/>
          <w:numId w:val="18"/>
        </w:numPr>
        <w:spacing w:before="160" w:after="160"/>
        <w:ind w:left="1440"/>
        <w:rPr>
          <w:sz w:val="24"/>
          <w:szCs w:val="24"/>
        </w:rPr>
      </w:pPr>
      <w:r w:rsidRPr="00994859">
        <w:rPr>
          <w:sz w:val="24"/>
          <w:szCs w:val="24"/>
        </w:rPr>
        <w:t xml:space="preserve">Is the rate </w:t>
      </w:r>
      <w:r w:rsidR="00E8300E">
        <w:rPr>
          <w:sz w:val="24"/>
          <w:szCs w:val="24"/>
        </w:rPr>
        <w:t>change</w:t>
      </w:r>
      <w:r w:rsidR="00E8300E" w:rsidRPr="00994859">
        <w:rPr>
          <w:sz w:val="24"/>
          <w:szCs w:val="24"/>
        </w:rPr>
        <w:t xml:space="preserve"> </w:t>
      </w:r>
      <w:r w:rsidRPr="00994859">
        <w:rPr>
          <w:sz w:val="24"/>
          <w:szCs w:val="24"/>
        </w:rPr>
        <w:t xml:space="preserve">applied across the board? </w:t>
      </w:r>
      <w:r w:rsidR="00D71061">
        <w:rPr>
          <w:sz w:val="24"/>
          <w:szCs w:val="24"/>
        </w:rPr>
        <w:t xml:space="preserve">  </w:t>
      </w:r>
      <w:r w:rsidR="009F3A6D">
        <w:rPr>
          <w:rFonts w:ascii="Segoe UI Symbol" w:hAnsi="Segoe UI Symbol" w:cs="Segoe UI Symbol"/>
          <w:sz w:val="24"/>
          <w:szCs w:val="24"/>
        </w:rPr>
        <w:fldChar w:fldCharType="begin">
          <w:ffData>
            <w:name w:val="Check1"/>
            <w:enabled/>
            <w:calcOnExit w:val="0"/>
            <w:checkBox>
              <w:sizeAuto/>
              <w:default w:val="0"/>
              <w:checked w:val="0"/>
            </w:checkBox>
          </w:ffData>
        </w:fldChar>
      </w:r>
      <w:bookmarkStart w:id="5" w:name="Check1"/>
      <w:r w:rsidR="009F3A6D">
        <w:rPr>
          <w:rFonts w:ascii="Segoe UI Symbol" w:hAnsi="Segoe UI Symbol" w:cs="Segoe UI Symbol"/>
          <w:sz w:val="24"/>
          <w:szCs w:val="24"/>
        </w:rPr>
        <w:instrText xml:space="preserve"> FORMCHECKBOX </w:instrText>
      </w:r>
      <w:r w:rsidR="00AD7CFE">
        <w:rPr>
          <w:rFonts w:ascii="Segoe UI Symbol" w:hAnsi="Segoe UI Symbol" w:cs="Segoe UI Symbol"/>
          <w:sz w:val="24"/>
          <w:szCs w:val="24"/>
        </w:rPr>
      </w:r>
      <w:r w:rsidR="00AD7CFE">
        <w:rPr>
          <w:rFonts w:ascii="Segoe UI Symbol" w:hAnsi="Segoe UI Symbol" w:cs="Segoe UI Symbol"/>
          <w:sz w:val="24"/>
          <w:szCs w:val="24"/>
        </w:rPr>
        <w:fldChar w:fldCharType="separate"/>
      </w:r>
      <w:r w:rsidR="009F3A6D">
        <w:rPr>
          <w:rFonts w:ascii="Segoe UI Symbol" w:hAnsi="Segoe UI Symbol" w:cs="Segoe UI Symbol"/>
          <w:sz w:val="24"/>
          <w:szCs w:val="24"/>
        </w:rPr>
        <w:fldChar w:fldCharType="end"/>
      </w:r>
      <w:bookmarkEnd w:id="5"/>
      <w:r w:rsidRPr="00994859">
        <w:rPr>
          <w:sz w:val="24"/>
          <w:szCs w:val="24"/>
        </w:rPr>
        <w:t xml:space="preserve">Yes   </w:t>
      </w:r>
      <w:r w:rsidR="009F3A6D">
        <w:rPr>
          <w:rFonts w:ascii="Segoe UI Symbol" w:hAnsi="Segoe UI Symbol" w:cs="Segoe UI Symbol"/>
          <w:sz w:val="24"/>
          <w:szCs w:val="24"/>
        </w:rPr>
        <w:fldChar w:fldCharType="begin">
          <w:ffData>
            <w:name w:val="Check2"/>
            <w:enabled/>
            <w:calcOnExit w:val="0"/>
            <w:checkBox>
              <w:sizeAuto/>
              <w:default w:val="0"/>
            </w:checkBox>
          </w:ffData>
        </w:fldChar>
      </w:r>
      <w:bookmarkStart w:id="6" w:name="Check2"/>
      <w:r w:rsidR="009F3A6D">
        <w:rPr>
          <w:rFonts w:ascii="Segoe UI Symbol" w:hAnsi="Segoe UI Symbol" w:cs="Segoe UI Symbol"/>
          <w:sz w:val="24"/>
          <w:szCs w:val="24"/>
        </w:rPr>
        <w:instrText xml:space="preserve"> FORMCHECKBOX </w:instrText>
      </w:r>
      <w:r w:rsidR="00AD7CFE">
        <w:rPr>
          <w:rFonts w:ascii="Segoe UI Symbol" w:hAnsi="Segoe UI Symbol" w:cs="Segoe UI Symbol"/>
          <w:sz w:val="24"/>
          <w:szCs w:val="24"/>
        </w:rPr>
      </w:r>
      <w:r w:rsidR="00AD7CFE">
        <w:rPr>
          <w:rFonts w:ascii="Segoe UI Symbol" w:hAnsi="Segoe UI Symbol" w:cs="Segoe UI Symbol"/>
          <w:sz w:val="24"/>
          <w:szCs w:val="24"/>
        </w:rPr>
        <w:fldChar w:fldCharType="separate"/>
      </w:r>
      <w:r w:rsidR="009F3A6D">
        <w:rPr>
          <w:rFonts w:ascii="Segoe UI Symbol" w:hAnsi="Segoe UI Symbol" w:cs="Segoe UI Symbol"/>
          <w:sz w:val="24"/>
          <w:szCs w:val="24"/>
        </w:rPr>
        <w:fldChar w:fldCharType="end"/>
      </w:r>
      <w:bookmarkEnd w:id="6"/>
      <w:r w:rsidRPr="00994859">
        <w:rPr>
          <w:sz w:val="24"/>
          <w:szCs w:val="24"/>
        </w:rPr>
        <w:t>No</w:t>
      </w:r>
    </w:p>
    <w:p w14:paraId="29DD1166" w14:textId="469C9F39" w:rsidR="00037AA8" w:rsidRDefault="00037AA8" w:rsidP="00F27BD7">
      <w:pPr>
        <w:pStyle w:val="BodyText"/>
        <w:numPr>
          <w:ilvl w:val="2"/>
          <w:numId w:val="18"/>
        </w:numPr>
        <w:spacing w:before="160" w:after="160"/>
        <w:ind w:left="1440"/>
        <w:rPr>
          <w:sz w:val="24"/>
          <w:szCs w:val="24"/>
        </w:rPr>
      </w:pPr>
      <w:r w:rsidRPr="00263CF7">
        <w:rPr>
          <w:sz w:val="24"/>
          <w:szCs w:val="24"/>
        </w:rPr>
        <w:t>If no</w:t>
      </w:r>
      <w:r w:rsidR="00423DE2">
        <w:rPr>
          <w:sz w:val="24"/>
          <w:szCs w:val="24"/>
        </w:rPr>
        <w:t>t</w:t>
      </w:r>
      <w:r w:rsidRPr="00263CF7">
        <w:rPr>
          <w:sz w:val="24"/>
          <w:szCs w:val="24"/>
        </w:rPr>
        <w:t xml:space="preserve">, please provide schedules supporting the calculation of a weighted average </w:t>
      </w:r>
      <w:r w:rsidR="00E8300E">
        <w:rPr>
          <w:sz w:val="24"/>
          <w:szCs w:val="24"/>
        </w:rPr>
        <w:t>change</w:t>
      </w:r>
      <w:r w:rsidRPr="00263CF7">
        <w:rPr>
          <w:sz w:val="24"/>
          <w:szCs w:val="24"/>
        </w:rPr>
        <w:t>.</w:t>
      </w:r>
    </w:p>
    <w:p w14:paraId="019515B8" w14:textId="5983B8D3" w:rsidR="009F3A6D" w:rsidRPr="00263CF7" w:rsidRDefault="000D59D6" w:rsidP="000D59D6">
      <w:pPr>
        <w:pStyle w:val="BodyText"/>
        <w:spacing w:before="160" w:after="160"/>
        <w:ind w:left="1440"/>
        <w:rPr>
          <w:sz w:val="24"/>
          <w:szCs w:val="24"/>
        </w:rPr>
      </w:pPr>
      <w:r>
        <w:rPr>
          <w:rFonts w:ascii="Verdana" w:hAnsi="Verdana"/>
          <w:i/>
          <w:iCs/>
        </w:rPr>
        <w:fldChar w:fldCharType="begin">
          <w:ffData>
            <w:name w:val="Text3"/>
            <w:enabled/>
            <w:calcOnExit w:val="0"/>
            <w:textInput>
              <w:default w:val="Enter narrative response here and note any additional attachments associated with this data request."/>
            </w:textInput>
          </w:ffData>
        </w:fldChar>
      </w:r>
      <w:bookmarkStart w:id="7" w:name="Text3"/>
      <w:r>
        <w:rPr>
          <w:rFonts w:ascii="Verdana" w:hAnsi="Verdana"/>
          <w:i/>
          <w:iCs/>
        </w:rPr>
        <w:instrText xml:space="preserve"> FORMTEXT </w:instrText>
      </w:r>
      <w:r>
        <w:rPr>
          <w:rFonts w:ascii="Verdana" w:hAnsi="Verdana"/>
          <w:i/>
          <w:iCs/>
        </w:rPr>
      </w:r>
      <w:r>
        <w:rPr>
          <w:rFonts w:ascii="Verdana" w:hAnsi="Verdana"/>
          <w:i/>
          <w:iCs/>
        </w:rPr>
        <w:fldChar w:fldCharType="separate"/>
      </w:r>
      <w:r>
        <w:rPr>
          <w:rFonts w:ascii="Verdana" w:hAnsi="Verdana"/>
          <w:i/>
          <w:iCs/>
          <w:noProof/>
        </w:rPr>
        <w:t>Enter narrative response here and note any additional attachments associated with this data request.</w:t>
      </w:r>
      <w:r>
        <w:rPr>
          <w:rFonts w:ascii="Verdana" w:hAnsi="Verdana"/>
          <w:i/>
          <w:iCs/>
        </w:rPr>
        <w:fldChar w:fldCharType="end"/>
      </w:r>
      <w:bookmarkEnd w:id="7"/>
    </w:p>
    <w:p w14:paraId="1698B3D5" w14:textId="17862F12" w:rsidR="00037AA8" w:rsidRPr="00512F72" w:rsidRDefault="00037AA8" w:rsidP="0043266E">
      <w:pPr>
        <w:pStyle w:val="Heading4"/>
        <w:numPr>
          <w:ilvl w:val="0"/>
          <w:numId w:val="13"/>
        </w:numPr>
        <w:spacing w:before="360"/>
        <w:ind w:left="1454" w:hanging="907"/>
        <w:rPr>
          <w:sz w:val="28"/>
          <w:szCs w:val="28"/>
        </w:rPr>
      </w:pPr>
      <w:bookmarkStart w:id="8" w:name="_Toc99726033"/>
      <w:r w:rsidRPr="00512F72">
        <w:rPr>
          <w:sz w:val="28"/>
          <w:szCs w:val="28"/>
        </w:rPr>
        <w:t xml:space="preserve">Explanation of the Benefits Provided by the Rate </w:t>
      </w:r>
      <w:r w:rsidR="00622A44">
        <w:rPr>
          <w:sz w:val="28"/>
          <w:szCs w:val="28"/>
        </w:rPr>
        <w:t>Change</w:t>
      </w:r>
      <w:bookmarkEnd w:id="8"/>
    </w:p>
    <w:p w14:paraId="748D306F" w14:textId="295ECA24" w:rsidR="00483B78" w:rsidRDefault="00037AA8" w:rsidP="0043266E">
      <w:pPr>
        <w:pStyle w:val="BodyText"/>
        <w:spacing w:before="160" w:after="160" w:line="276" w:lineRule="auto"/>
        <w:ind w:left="1440"/>
        <w:rPr>
          <w:sz w:val="24"/>
          <w:szCs w:val="24"/>
        </w:rPr>
      </w:pPr>
      <w:r w:rsidRPr="00263CF7">
        <w:rPr>
          <w:sz w:val="24"/>
          <w:szCs w:val="24"/>
        </w:rPr>
        <w:t xml:space="preserve">Provide a narrative and supporting schedules, if required, to explain the financial basis of any rate </w:t>
      </w:r>
      <w:r w:rsidR="00E8300E">
        <w:rPr>
          <w:sz w:val="24"/>
          <w:szCs w:val="24"/>
        </w:rPr>
        <w:t>change</w:t>
      </w:r>
      <w:r w:rsidRPr="00263CF7">
        <w:rPr>
          <w:sz w:val="24"/>
          <w:szCs w:val="24"/>
        </w:rPr>
        <w:t>, including but not limited to labor cost, supply cost, capital funding needs</w:t>
      </w:r>
      <w:r w:rsidR="00FA7E82">
        <w:rPr>
          <w:sz w:val="24"/>
          <w:szCs w:val="24"/>
        </w:rPr>
        <w:t>,</w:t>
      </w:r>
      <w:r w:rsidRPr="00263CF7">
        <w:rPr>
          <w:sz w:val="24"/>
          <w:szCs w:val="24"/>
        </w:rPr>
        <w:t xml:space="preserve"> and expansion of services.</w:t>
      </w:r>
    </w:p>
    <w:p w14:paraId="347D929B" w14:textId="5D4CE809" w:rsidR="000D59D6" w:rsidRPr="00263CF7" w:rsidRDefault="000D59D6" w:rsidP="0043266E">
      <w:pPr>
        <w:pStyle w:val="BodyText"/>
        <w:spacing w:before="160" w:after="160" w:line="276" w:lineRule="auto"/>
        <w:ind w:left="1440"/>
        <w:rPr>
          <w:sz w:val="24"/>
          <w:szCs w:val="24"/>
        </w:rPr>
      </w:pPr>
      <w:r>
        <w:rPr>
          <w:rFonts w:ascii="Verdana" w:hAnsi="Verdana"/>
          <w:i/>
          <w:iCs/>
        </w:rPr>
        <w:fldChar w:fldCharType="begin">
          <w:ffData>
            <w:name w:val="Text4"/>
            <w:enabled/>
            <w:calcOnExit w:val="0"/>
            <w:textInput>
              <w:default w:val="Enter narrative response here and note any additional attachments associated with this data request."/>
            </w:textInput>
          </w:ffData>
        </w:fldChar>
      </w:r>
      <w:bookmarkStart w:id="9" w:name="Text4"/>
      <w:r>
        <w:rPr>
          <w:rFonts w:ascii="Verdana" w:hAnsi="Verdana"/>
          <w:i/>
          <w:iCs/>
        </w:rPr>
        <w:instrText xml:space="preserve"> FORMTEXT </w:instrText>
      </w:r>
      <w:r>
        <w:rPr>
          <w:rFonts w:ascii="Verdana" w:hAnsi="Verdana"/>
          <w:i/>
          <w:iCs/>
        </w:rPr>
      </w:r>
      <w:r>
        <w:rPr>
          <w:rFonts w:ascii="Verdana" w:hAnsi="Verdana"/>
          <w:i/>
          <w:iCs/>
        </w:rPr>
        <w:fldChar w:fldCharType="separate"/>
      </w:r>
      <w:r>
        <w:rPr>
          <w:rFonts w:ascii="Verdana" w:hAnsi="Verdana"/>
          <w:i/>
          <w:iCs/>
          <w:noProof/>
        </w:rPr>
        <w:t>Enter narrative response here and note any additional attachments associated with this data request.</w:t>
      </w:r>
      <w:r>
        <w:rPr>
          <w:rFonts w:ascii="Verdana" w:hAnsi="Verdana"/>
          <w:i/>
          <w:iCs/>
        </w:rPr>
        <w:fldChar w:fldCharType="end"/>
      </w:r>
      <w:bookmarkEnd w:id="9"/>
    </w:p>
    <w:p w14:paraId="6A5043B3" w14:textId="492AB720" w:rsidR="00037AA8" w:rsidRPr="00E8300E" w:rsidRDefault="00037AA8" w:rsidP="0043266E">
      <w:pPr>
        <w:pStyle w:val="Heading4"/>
        <w:numPr>
          <w:ilvl w:val="0"/>
          <w:numId w:val="13"/>
        </w:numPr>
        <w:spacing w:before="360"/>
        <w:ind w:left="1454" w:hanging="907"/>
        <w:rPr>
          <w:sz w:val="28"/>
          <w:szCs w:val="28"/>
        </w:rPr>
      </w:pPr>
      <w:bookmarkStart w:id="10" w:name="_Toc99726034"/>
      <w:r w:rsidRPr="00E8300E">
        <w:rPr>
          <w:sz w:val="28"/>
          <w:szCs w:val="28"/>
        </w:rPr>
        <w:t xml:space="preserve">Historical Rate </w:t>
      </w:r>
      <w:r w:rsidR="00E8300E">
        <w:rPr>
          <w:sz w:val="28"/>
          <w:szCs w:val="28"/>
        </w:rPr>
        <w:t>Changes</w:t>
      </w:r>
      <w:bookmarkEnd w:id="10"/>
    </w:p>
    <w:p w14:paraId="24420E6F" w14:textId="742D6673" w:rsidR="00037AA8" w:rsidRPr="00263CF7" w:rsidRDefault="00037AA8" w:rsidP="0043266E">
      <w:pPr>
        <w:pStyle w:val="BodyText"/>
        <w:spacing w:before="160" w:after="160" w:line="276" w:lineRule="auto"/>
        <w:ind w:left="1440"/>
        <w:rPr>
          <w:sz w:val="24"/>
          <w:szCs w:val="24"/>
        </w:rPr>
      </w:pPr>
      <w:r w:rsidRPr="00263CF7">
        <w:rPr>
          <w:sz w:val="24"/>
          <w:szCs w:val="24"/>
        </w:rPr>
        <w:t xml:space="preserve">Provide the average rate </w:t>
      </w:r>
      <w:r w:rsidR="00E8300E">
        <w:rPr>
          <w:sz w:val="24"/>
          <w:szCs w:val="24"/>
        </w:rPr>
        <w:t>change</w:t>
      </w:r>
      <w:r w:rsidR="00E8300E" w:rsidRPr="00263CF7">
        <w:rPr>
          <w:sz w:val="24"/>
          <w:szCs w:val="24"/>
        </w:rPr>
        <w:t xml:space="preserve"> </w:t>
      </w:r>
      <w:r w:rsidRPr="00263CF7">
        <w:rPr>
          <w:sz w:val="24"/>
          <w:szCs w:val="24"/>
        </w:rPr>
        <w:t>for the previous five years expressed as a percentage for each year.</w:t>
      </w:r>
    </w:p>
    <w:p w14:paraId="15307B17" w14:textId="395A7F39" w:rsidR="00037AA8" w:rsidRPr="00263CF7" w:rsidRDefault="00037AA8" w:rsidP="0043266E">
      <w:pPr>
        <w:pStyle w:val="BodyText"/>
        <w:spacing w:before="0" w:after="0" w:line="276" w:lineRule="auto"/>
        <w:ind w:left="1440"/>
        <w:rPr>
          <w:sz w:val="24"/>
          <w:szCs w:val="24"/>
        </w:rPr>
      </w:pPr>
      <w:r w:rsidRPr="00263CF7">
        <w:rPr>
          <w:sz w:val="24"/>
          <w:szCs w:val="24"/>
        </w:rPr>
        <w:t xml:space="preserve">Year 1 </w:t>
      </w:r>
      <w:r w:rsidR="000D59D6" w:rsidRPr="000D59D6">
        <w:rPr>
          <w:sz w:val="24"/>
          <w:szCs w:val="24"/>
          <w:u w:val="single"/>
        </w:rPr>
        <w:fldChar w:fldCharType="begin">
          <w:ffData>
            <w:name w:val="Text5"/>
            <w:enabled/>
            <w:calcOnExit w:val="0"/>
            <w:textInput/>
          </w:ffData>
        </w:fldChar>
      </w:r>
      <w:bookmarkStart w:id="11" w:name="Text5"/>
      <w:r w:rsidR="000D59D6" w:rsidRPr="000D59D6">
        <w:rPr>
          <w:sz w:val="24"/>
          <w:szCs w:val="24"/>
          <w:u w:val="single"/>
        </w:rPr>
        <w:instrText xml:space="preserve"> FORMTEXT </w:instrText>
      </w:r>
      <w:r w:rsidR="000D59D6" w:rsidRPr="000D59D6">
        <w:rPr>
          <w:sz w:val="24"/>
          <w:szCs w:val="24"/>
          <w:u w:val="single"/>
        </w:rPr>
      </w:r>
      <w:r w:rsidR="000D59D6" w:rsidRPr="000D59D6">
        <w:rPr>
          <w:sz w:val="24"/>
          <w:szCs w:val="24"/>
          <w:u w:val="single"/>
        </w:rPr>
        <w:fldChar w:fldCharType="separate"/>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sz w:val="24"/>
          <w:szCs w:val="24"/>
          <w:u w:val="single"/>
        </w:rPr>
        <w:fldChar w:fldCharType="end"/>
      </w:r>
      <w:bookmarkEnd w:id="11"/>
      <w:r w:rsidRPr="00263CF7">
        <w:rPr>
          <w:sz w:val="24"/>
          <w:szCs w:val="24"/>
        </w:rPr>
        <w:t>%</w:t>
      </w:r>
    </w:p>
    <w:p w14:paraId="7FEECEC2" w14:textId="43173F6A" w:rsidR="00037AA8" w:rsidRPr="00263CF7" w:rsidRDefault="00037AA8" w:rsidP="0043266E">
      <w:pPr>
        <w:pStyle w:val="BodyText"/>
        <w:spacing w:before="0" w:after="0" w:line="276" w:lineRule="auto"/>
        <w:ind w:left="1440"/>
        <w:rPr>
          <w:sz w:val="24"/>
          <w:szCs w:val="24"/>
        </w:rPr>
      </w:pPr>
      <w:r w:rsidRPr="00263CF7">
        <w:rPr>
          <w:sz w:val="24"/>
          <w:szCs w:val="24"/>
        </w:rPr>
        <w:t xml:space="preserve">Year 2 </w:t>
      </w:r>
      <w:r w:rsidR="000D59D6" w:rsidRPr="000D59D6">
        <w:rPr>
          <w:sz w:val="24"/>
          <w:szCs w:val="24"/>
          <w:u w:val="single"/>
        </w:rPr>
        <w:fldChar w:fldCharType="begin">
          <w:ffData>
            <w:name w:val="Text5"/>
            <w:enabled/>
            <w:calcOnExit w:val="0"/>
            <w:textInput/>
          </w:ffData>
        </w:fldChar>
      </w:r>
      <w:r w:rsidR="000D59D6" w:rsidRPr="000D59D6">
        <w:rPr>
          <w:sz w:val="24"/>
          <w:szCs w:val="24"/>
          <w:u w:val="single"/>
        </w:rPr>
        <w:instrText xml:space="preserve"> FORMTEXT </w:instrText>
      </w:r>
      <w:r w:rsidR="000D59D6" w:rsidRPr="000D59D6">
        <w:rPr>
          <w:sz w:val="24"/>
          <w:szCs w:val="24"/>
          <w:u w:val="single"/>
        </w:rPr>
      </w:r>
      <w:r w:rsidR="000D59D6" w:rsidRPr="000D59D6">
        <w:rPr>
          <w:sz w:val="24"/>
          <w:szCs w:val="24"/>
          <w:u w:val="single"/>
        </w:rPr>
        <w:fldChar w:fldCharType="separate"/>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sz w:val="24"/>
          <w:szCs w:val="24"/>
          <w:u w:val="single"/>
        </w:rPr>
        <w:fldChar w:fldCharType="end"/>
      </w:r>
      <w:r w:rsidRPr="00263CF7">
        <w:rPr>
          <w:sz w:val="24"/>
          <w:szCs w:val="24"/>
        </w:rPr>
        <w:t>%</w:t>
      </w:r>
    </w:p>
    <w:p w14:paraId="077EEB88" w14:textId="39F3884D" w:rsidR="00037AA8" w:rsidRPr="00263CF7" w:rsidRDefault="00037AA8" w:rsidP="0043266E">
      <w:pPr>
        <w:pStyle w:val="BodyText"/>
        <w:spacing w:before="0" w:after="0" w:line="276" w:lineRule="auto"/>
        <w:ind w:left="1440"/>
        <w:rPr>
          <w:sz w:val="24"/>
          <w:szCs w:val="24"/>
        </w:rPr>
      </w:pPr>
      <w:r w:rsidRPr="00263CF7">
        <w:rPr>
          <w:sz w:val="24"/>
          <w:szCs w:val="24"/>
        </w:rPr>
        <w:t xml:space="preserve">Year 3 </w:t>
      </w:r>
      <w:r w:rsidR="000D59D6" w:rsidRPr="000D59D6">
        <w:rPr>
          <w:sz w:val="24"/>
          <w:szCs w:val="24"/>
          <w:u w:val="single"/>
        </w:rPr>
        <w:fldChar w:fldCharType="begin">
          <w:ffData>
            <w:name w:val=""/>
            <w:enabled/>
            <w:calcOnExit w:val="0"/>
            <w:textInput/>
          </w:ffData>
        </w:fldChar>
      </w:r>
      <w:r w:rsidR="000D59D6" w:rsidRPr="000D59D6">
        <w:rPr>
          <w:sz w:val="24"/>
          <w:szCs w:val="24"/>
          <w:u w:val="single"/>
        </w:rPr>
        <w:instrText xml:space="preserve"> FORMTEXT </w:instrText>
      </w:r>
      <w:r w:rsidR="000D59D6" w:rsidRPr="000D59D6">
        <w:rPr>
          <w:sz w:val="24"/>
          <w:szCs w:val="24"/>
          <w:u w:val="single"/>
        </w:rPr>
      </w:r>
      <w:r w:rsidR="000D59D6" w:rsidRPr="000D59D6">
        <w:rPr>
          <w:sz w:val="24"/>
          <w:szCs w:val="24"/>
          <w:u w:val="single"/>
        </w:rPr>
        <w:fldChar w:fldCharType="separate"/>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sz w:val="24"/>
          <w:szCs w:val="24"/>
          <w:u w:val="single"/>
        </w:rPr>
        <w:fldChar w:fldCharType="end"/>
      </w:r>
      <w:r w:rsidRPr="00263CF7">
        <w:rPr>
          <w:sz w:val="24"/>
          <w:szCs w:val="24"/>
        </w:rPr>
        <w:t>%</w:t>
      </w:r>
    </w:p>
    <w:p w14:paraId="2B1E680C" w14:textId="55F2F540" w:rsidR="00037AA8" w:rsidRPr="00263CF7" w:rsidRDefault="00037AA8" w:rsidP="0043266E">
      <w:pPr>
        <w:pStyle w:val="BodyText"/>
        <w:spacing w:before="0" w:after="0" w:line="276" w:lineRule="auto"/>
        <w:ind w:left="1440"/>
        <w:rPr>
          <w:sz w:val="24"/>
          <w:szCs w:val="24"/>
        </w:rPr>
      </w:pPr>
      <w:r w:rsidRPr="00263CF7">
        <w:rPr>
          <w:sz w:val="24"/>
          <w:szCs w:val="24"/>
        </w:rPr>
        <w:t xml:space="preserve">Year 4 </w:t>
      </w:r>
      <w:r w:rsidR="000D59D6" w:rsidRPr="000D59D6">
        <w:rPr>
          <w:sz w:val="24"/>
          <w:szCs w:val="24"/>
          <w:u w:val="single"/>
        </w:rPr>
        <w:fldChar w:fldCharType="begin">
          <w:ffData>
            <w:name w:val="Text5"/>
            <w:enabled/>
            <w:calcOnExit w:val="0"/>
            <w:textInput/>
          </w:ffData>
        </w:fldChar>
      </w:r>
      <w:r w:rsidR="000D59D6" w:rsidRPr="000D59D6">
        <w:rPr>
          <w:sz w:val="24"/>
          <w:szCs w:val="24"/>
          <w:u w:val="single"/>
        </w:rPr>
        <w:instrText xml:space="preserve"> FORMTEXT </w:instrText>
      </w:r>
      <w:r w:rsidR="000D59D6" w:rsidRPr="000D59D6">
        <w:rPr>
          <w:sz w:val="24"/>
          <w:szCs w:val="24"/>
          <w:u w:val="single"/>
        </w:rPr>
      </w:r>
      <w:r w:rsidR="000D59D6" w:rsidRPr="000D59D6">
        <w:rPr>
          <w:sz w:val="24"/>
          <w:szCs w:val="24"/>
          <w:u w:val="single"/>
        </w:rPr>
        <w:fldChar w:fldCharType="separate"/>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sz w:val="24"/>
          <w:szCs w:val="24"/>
          <w:u w:val="single"/>
        </w:rPr>
        <w:fldChar w:fldCharType="end"/>
      </w:r>
      <w:r w:rsidRPr="00263CF7">
        <w:rPr>
          <w:sz w:val="24"/>
          <w:szCs w:val="24"/>
        </w:rPr>
        <w:t>%</w:t>
      </w:r>
    </w:p>
    <w:p w14:paraId="488A4B35" w14:textId="6DB4A19C" w:rsidR="00037AA8" w:rsidRPr="00263CF7" w:rsidRDefault="00037AA8" w:rsidP="0043266E">
      <w:pPr>
        <w:pStyle w:val="BodyText"/>
        <w:spacing w:before="0" w:after="0" w:line="276" w:lineRule="auto"/>
        <w:ind w:left="1440"/>
        <w:rPr>
          <w:sz w:val="24"/>
          <w:szCs w:val="24"/>
        </w:rPr>
      </w:pPr>
      <w:r w:rsidRPr="00263CF7">
        <w:rPr>
          <w:sz w:val="24"/>
          <w:szCs w:val="24"/>
        </w:rPr>
        <w:t xml:space="preserve">Year 5 </w:t>
      </w:r>
      <w:r w:rsidR="000D59D6" w:rsidRPr="000D59D6">
        <w:rPr>
          <w:sz w:val="24"/>
          <w:szCs w:val="24"/>
          <w:u w:val="single"/>
        </w:rPr>
        <w:fldChar w:fldCharType="begin">
          <w:ffData>
            <w:name w:val="Text5"/>
            <w:enabled/>
            <w:calcOnExit w:val="0"/>
            <w:textInput/>
          </w:ffData>
        </w:fldChar>
      </w:r>
      <w:r w:rsidR="000D59D6" w:rsidRPr="000D59D6">
        <w:rPr>
          <w:sz w:val="24"/>
          <w:szCs w:val="24"/>
          <w:u w:val="single"/>
        </w:rPr>
        <w:instrText xml:space="preserve"> FORMTEXT </w:instrText>
      </w:r>
      <w:r w:rsidR="000D59D6" w:rsidRPr="000D59D6">
        <w:rPr>
          <w:sz w:val="24"/>
          <w:szCs w:val="24"/>
          <w:u w:val="single"/>
        </w:rPr>
      </w:r>
      <w:r w:rsidR="000D59D6" w:rsidRPr="000D59D6">
        <w:rPr>
          <w:sz w:val="24"/>
          <w:szCs w:val="24"/>
          <w:u w:val="single"/>
        </w:rPr>
        <w:fldChar w:fldCharType="separate"/>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noProof/>
          <w:sz w:val="24"/>
          <w:szCs w:val="24"/>
          <w:u w:val="single"/>
        </w:rPr>
        <w:t> </w:t>
      </w:r>
      <w:r w:rsidR="000D59D6" w:rsidRPr="000D59D6">
        <w:rPr>
          <w:sz w:val="24"/>
          <w:szCs w:val="24"/>
          <w:u w:val="single"/>
        </w:rPr>
        <w:fldChar w:fldCharType="end"/>
      </w:r>
      <w:r w:rsidRPr="00263CF7">
        <w:rPr>
          <w:sz w:val="24"/>
          <w:szCs w:val="24"/>
        </w:rPr>
        <w:t>%</w:t>
      </w:r>
    </w:p>
    <w:p w14:paraId="0A7A8EFB" w14:textId="145D5B6B" w:rsidR="00037AA8" w:rsidRPr="00C622E3" w:rsidRDefault="00C622E3" w:rsidP="00FF77C1">
      <w:pPr>
        <w:rPr>
          <w:sz w:val="28"/>
          <w:szCs w:val="28"/>
        </w:rPr>
      </w:pPr>
      <w:bookmarkStart w:id="12" w:name="_Toc99726035"/>
      <w:bookmarkStart w:id="13" w:name="_Hlk99705508"/>
      <w:r>
        <w:rPr>
          <w:sz w:val="28"/>
          <w:szCs w:val="28"/>
        </w:rPr>
        <w:br w:type="page"/>
      </w:r>
      <w:r w:rsidR="00037AA8" w:rsidRPr="00C622E3">
        <w:rPr>
          <w:sz w:val="28"/>
          <w:szCs w:val="28"/>
        </w:rPr>
        <w:t>Source of Revenue</w:t>
      </w:r>
      <w:bookmarkEnd w:id="12"/>
    </w:p>
    <w:bookmarkEnd w:id="13"/>
    <w:p w14:paraId="222141F8" w14:textId="29A843DA" w:rsidR="00622A44" w:rsidRDefault="00622A44" w:rsidP="0043266E">
      <w:pPr>
        <w:pStyle w:val="BodyText"/>
        <w:spacing w:before="160" w:after="160" w:line="276" w:lineRule="auto"/>
        <w:ind w:left="1440"/>
        <w:rPr>
          <w:sz w:val="24"/>
          <w:szCs w:val="24"/>
        </w:rPr>
      </w:pPr>
      <w:r>
        <w:rPr>
          <w:sz w:val="24"/>
          <w:szCs w:val="24"/>
        </w:rPr>
        <w:t>Appendix B - Tab</w:t>
      </w:r>
      <w:r w:rsidR="00037AA8" w:rsidRPr="00263CF7">
        <w:rPr>
          <w:sz w:val="24"/>
          <w:szCs w:val="24"/>
        </w:rPr>
        <w:t xml:space="preserve"> 4 </w:t>
      </w:r>
      <w:r>
        <w:rPr>
          <w:sz w:val="24"/>
          <w:szCs w:val="24"/>
        </w:rPr>
        <w:t>“</w:t>
      </w:r>
      <w:r w:rsidR="00037AA8" w:rsidRPr="00263CF7">
        <w:rPr>
          <w:sz w:val="24"/>
          <w:szCs w:val="24"/>
        </w:rPr>
        <w:t>Revenue Sources</w:t>
      </w:r>
      <w:r>
        <w:rPr>
          <w:sz w:val="24"/>
          <w:szCs w:val="24"/>
        </w:rPr>
        <w:t>”:</w:t>
      </w:r>
    </w:p>
    <w:p w14:paraId="1ACBEC0F" w14:textId="43CB42CC" w:rsidR="00037AA8" w:rsidRDefault="00622A44" w:rsidP="0043266E">
      <w:pPr>
        <w:pStyle w:val="BodyText"/>
        <w:spacing w:before="160" w:after="160" w:line="276" w:lineRule="auto"/>
        <w:ind w:left="1440"/>
        <w:rPr>
          <w:sz w:val="24"/>
          <w:szCs w:val="24"/>
        </w:rPr>
      </w:pPr>
      <w:r>
        <w:rPr>
          <w:sz w:val="24"/>
          <w:szCs w:val="24"/>
        </w:rPr>
        <w:t>Provide</w:t>
      </w:r>
      <w:r w:rsidR="00037AA8" w:rsidRPr="00263CF7">
        <w:rPr>
          <w:sz w:val="24"/>
          <w:szCs w:val="24"/>
        </w:rPr>
        <w:t xml:space="preserve"> data for the past </w:t>
      </w:r>
      <w:r w:rsidR="00A6395A">
        <w:rPr>
          <w:sz w:val="24"/>
          <w:szCs w:val="24"/>
        </w:rPr>
        <w:t xml:space="preserve">12 </w:t>
      </w:r>
      <w:r w:rsidR="00037AA8" w:rsidRPr="00263CF7">
        <w:rPr>
          <w:sz w:val="24"/>
          <w:szCs w:val="24"/>
        </w:rPr>
        <w:t xml:space="preserve">months or </w:t>
      </w:r>
      <w:r w:rsidR="00280FC0">
        <w:rPr>
          <w:sz w:val="24"/>
          <w:szCs w:val="24"/>
        </w:rPr>
        <w:t xml:space="preserve">12 months of projected data </w:t>
      </w:r>
      <w:r w:rsidR="00037AA8" w:rsidRPr="00263CF7">
        <w:rPr>
          <w:sz w:val="24"/>
          <w:szCs w:val="24"/>
        </w:rPr>
        <w:t xml:space="preserve">consistent with the current year for </w:t>
      </w:r>
      <w:r>
        <w:rPr>
          <w:sz w:val="24"/>
          <w:szCs w:val="24"/>
        </w:rPr>
        <w:t xml:space="preserve">all payors listed. </w:t>
      </w:r>
      <w:r w:rsidR="00037AA8" w:rsidRPr="00263CF7">
        <w:rPr>
          <w:sz w:val="24"/>
          <w:szCs w:val="24"/>
        </w:rPr>
        <w:t xml:space="preserve">If applicable, explain any changes in the past </w:t>
      </w:r>
      <w:r w:rsidR="00A6395A">
        <w:rPr>
          <w:sz w:val="24"/>
          <w:szCs w:val="24"/>
        </w:rPr>
        <w:t>12</w:t>
      </w:r>
      <w:r w:rsidR="00A6395A" w:rsidRPr="00263CF7">
        <w:rPr>
          <w:sz w:val="24"/>
          <w:szCs w:val="24"/>
        </w:rPr>
        <w:t xml:space="preserve"> </w:t>
      </w:r>
      <w:r w:rsidR="00037AA8" w:rsidRPr="00263CF7">
        <w:rPr>
          <w:sz w:val="24"/>
          <w:szCs w:val="24"/>
        </w:rPr>
        <w:t>months to the payor mix, terms of payment</w:t>
      </w:r>
      <w:r w:rsidR="00280FC0">
        <w:rPr>
          <w:sz w:val="24"/>
          <w:szCs w:val="24"/>
        </w:rPr>
        <w:t>,</w:t>
      </w:r>
      <w:r w:rsidR="00037AA8" w:rsidRPr="00263CF7">
        <w:rPr>
          <w:sz w:val="24"/>
          <w:szCs w:val="24"/>
        </w:rPr>
        <w:t xml:space="preserve"> or other factors related to payors impacted by </w:t>
      </w:r>
      <w:r>
        <w:rPr>
          <w:sz w:val="24"/>
          <w:szCs w:val="24"/>
        </w:rPr>
        <w:t>a change</w:t>
      </w:r>
      <w:r w:rsidR="00037AA8" w:rsidRPr="00263CF7">
        <w:rPr>
          <w:sz w:val="24"/>
          <w:szCs w:val="24"/>
        </w:rPr>
        <w:t xml:space="preserve"> in </w:t>
      </w:r>
      <w:r w:rsidR="00037AA8" w:rsidRPr="00C578C0">
        <w:rPr>
          <w:sz w:val="24"/>
          <w:szCs w:val="24"/>
        </w:rPr>
        <w:t>rates</w:t>
      </w:r>
      <w:r w:rsidR="00037AA8" w:rsidRPr="00263CF7">
        <w:rPr>
          <w:sz w:val="24"/>
          <w:szCs w:val="24"/>
        </w:rPr>
        <w:t>.</w:t>
      </w:r>
    </w:p>
    <w:p w14:paraId="731E98F9" w14:textId="77777777" w:rsidR="00EA7859" w:rsidRPr="00263CF7" w:rsidRDefault="00EA7859" w:rsidP="00EA7859">
      <w:pPr>
        <w:pStyle w:val="BodyText"/>
        <w:spacing w:before="160" w:after="160" w:line="276" w:lineRule="auto"/>
        <w:ind w:left="1440"/>
        <w:rPr>
          <w:sz w:val="24"/>
          <w:szCs w:val="24"/>
        </w:rPr>
      </w:pPr>
      <w:r>
        <w:rPr>
          <w:rFonts w:ascii="Verdana" w:hAnsi="Verdana"/>
          <w:i/>
          <w:iCs/>
        </w:rPr>
        <w:fldChar w:fldCharType="begin">
          <w:ffData>
            <w:name w:val="Text4"/>
            <w:enabled/>
            <w:calcOnExit w:val="0"/>
            <w:textInput>
              <w:default w:val="Enter narrative response here and note any additional attachments associated with this data request."/>
            </w:textInput>
          </w:ffData>
        </w:fldChar>
      </w:r>
      <w:r>
        <w:rPr>
          <w:rFonts w:ascii="Verdana" w:hAnsi="Verdana"/>
          <w:i/>
          <w:iCs/>
        </w:rPr>
        <w:instrText xml:space="preserve"> FORMTEXT </w:instrText>
      </w:r>
      <w:r>
        <w:rPr>
          <w:rFonts w:ascii="Verdana" w:hAnsi="Verdana"/>
          <w:i/>
          <w:iCs/>
        </w:rPr>
      </w:r>
      <w:r>
        <w:rPr>
          <w:rFonts w:ascii="Verdana" w:hAnsi="Verdana"/>
          <w:i/>
          <w:iCs/>
        </w:rPr>
        <w:fldChar w:fldCharType="separate"/>
      </w:r>
      <w:r>
        <w:rPr>
          <w:rFonts w:ascii="Verdana" w:hAnsi="Verdana"/>
          <w:i/>
          <w:iCs/>
          <w:noProof/>
        </w:rPr>
        <w:t>Enter narrative response here and note any additional attachments associated with this data request.</w:t>
      </w:r>
      <w:r>
        <w:rPr>
          <w:rFonts w:ascii="Verdana" w:hAnsi="Verdana"/>
          <w:i/>
          <w:iCs/>
        </w:rPr>
        <w:fldChar w:fldCharType="end"/>
      </w:r>
    </w:p>
    <w:p w14:paraId="7AC0E2CE" w14:textId="54CC0881" w:rsidR="00037AA8" w:rsidRPr="00512F72" w:rsidRDefault="00037AA8" w:rsidP="0043266E">
      <w:pPr>
        <w:pStyle w:val="Heading4"/>
        <w:numPr>
          <w:ilvl w:val="0"/>
          <w:numId w:val="13"/>
        </w:numPr>
        <w:spacing w:before="360"/>
        <w:ind w:left="1454" w:hanging="907"/>
        <w:rPr>
          <w:sz w:val="28"/>
          <w:szCs w:val="28"/>
        </w:rPr>
      </w:pPr>
      <w:bookmarkStart w:id="14" w:name="_Toc99726036"/>
      <w:r w:rsidRPr="00512F72">
        <w:rPr>
          <w:sz w:val="28"/>
          <w:szCs w:val="28"/>
        </w:rPr>
        <w:t>Financial Performance</w:t>
      </w:r>
      <w:bookmarkEnd w:id="14"/>
    </w:p>
    <w:p w14:paraId="521ABB15" w14:textId="3E8CA907" w:rsidR="00622A44" w:rsidRDefault="00622A44" w:rsidP="0043266E">
      <w:pPr>
        <w:pStyle w:val="BodyText"/>
        <w:spacing w:before="160" w:after="160" w:line="276" w:lineRule="auto"/>
        <w:ind w:left="1440"/>
        <w:rPr>
          <w:sz w:val="24"/>
          <w:szCs w:val="24"/>
        </w:rPr>
      </w:pPr>
      <w:r>
        <w:rPr>
          <w:sz w:val="24"/>
          <w:szCs w:val="24"/>
        </w:rPr>
        <w:t>Appendix B, Tab 5 “</w:t>
      </w:r>
      <w:r w:rsidR="00037AA8" w:rsidRPr="00263CF7">
        <w:rPr>
          <w:sz w:val="24"/>
          <w:szCs w:val="24"/>
        </w:rPr>
        <w:t>Financial Performance</w:t>
      </w:r>
      <w:r>
        <w:rPr>
          <w:sz w:val="24"/>
          <w:szCs w:val="24"/>
        </w:rPr>
        <w:t>”:</w:t>
      </w:r>
    </w:p>
    <w:p w14:paraId="54C9EE06" w14:textId="41A7A074" w:rsidR="00037AA8" w:rsidRPr="00263CF7" w:rsidRDefault="00622A44" w:rsidP="0043266E">
      <w:pPr>
        <w:pStyle w:val="BodyText"/>
        <w:spacing w:before="160" w:after="160" w:line="276" w:lineRule="auto"/>
        <w:ind w:left="1440"/>
        <w:rPr>
          <w:sz w:val="24"/>
          <w:szCs w:val="24"/>
        </w:rPr>
      </w:pPr>
      <w:r>
        <w:rPr>
          <w:sz w:val="24"/>
          <w:szCs w:val="24"/>
        </w:rPr>
        <w:t>P</w:t>
      </w:r>
      <w:r w:rsidR="00037AA8" w:rsidRPr="00263CF7">
        <w:rPr>
          <w:sz w:val="24"/>
          <w:szCs w:val="24"/>
        </w:rPr>
        <w:t>rovide information from income statements and a schedule of unrestricted cash balances from the previous year’s audited financial statements (adjust categories as required)</w:t>
      </w:r>
      <w:r w:rsidR="00A6395A">
        <w:rPr>
          <w:sz w:val="24"/>
          <w:szCs w:val="24"/>
        </w:rPr>
        <w:t xml:space="preserve"> as indicated</w:t>
      </w:r>
      <w:r w:rsidR="00037AA8" w:rsidRPr="00263CF7">
        <w:rPr>
          <w:sz w:val="24"/>
          <w:szCs w:val="24"/>
        </w:rPr>
        <w:t>.</w:t>
      </w:r>
    </w:p>
    <w:p w14:paraId="61BD3950" w14:textId="5B1D2FA1" w:rsidR="00037AA8" w:rsidRPr="00263CF7" w:rsidRDefault="00037AA8" w:rsidP="0043266E">
      <w:pPr>
        <w:pStyle w:val="BodyText"/>
        <w:spacing w:before="160" w:after="160" w:line="276" w:lineRule="auto"/>
        <w:ind w:left="1440"/>
        <w:rPr>
          <w:sz w:val="24"/>
          <w:szCs w:val="24"/>
        </w:rPr>
      </w:pPr>
      <w:r w:rsidRPr="00263CF7">
        <w:rPr>
          <w:sz w:val="24"/>
          <w:szCs w:val="24"/>
        </w:rPr>
        <w:t xml:space="preserve">The net income and </w:t>
      </w:r>
      <w:r w:rsidR="0043266E" w:rsidRPr="0043266E">
        <w:rPr>
          <w:sz w:val="24"/>
          <w:szCs w:val="24"/>
        </w:rPr>
        <w:t xml:space="preserve">earnings before interest, </w:t>
      </w:r>
      <w:proofErr w:type="gramStart"/>
      <w:r w:rsidR="0043266E" w:rsidRPr="0043266E">
        <w:rPr>
          <w:sz w:val="24"/>
          <w:szCs w:val="24"/>
        </w:rPr>
        <w:t>taxes ,</w:t>
      </w:r>
      <w:proofErr w:type="gramEnd"/>
      <w:r w:rsidR="0043266E" w:rsidRPr="0043266E">
        <w:rPr>
          <w:sz w:val="24"/>
          <w:szCs w:val="24"/>
        </w:rPr>
        <w:t xml:space="preserve"> depreciation and amortization (</w:t>
      </w:r>
      <w:r w:rsidRPr="00263CF7">
        <w:rPr>
          <w:sz w:val="24"/>
          <w:szCs w:val="24"/>
        </w:rPr>
        <w:t>EBITDA</w:t>
      </w:r>
      <w:r w:rsidR="0043266E">
        <w:rPr>
          <w:sz w:val="24"/>
          <w:szCs w:val="24"/>
        </w:rPr>
        <w:t>)</w:t>
      </w:r>
      <w:r w:rsidRPr="00263CF7">
        <w:rPr>
          <w:sz w:val="24"/>
          <w:szCs w:val="24"/>
        </w:rPr>
        <w:t xml:space="preserve"> presented in the column labeled </w:t>
      </w:r>
      <w:r w:rsidR="00280FC0">
        <w:rPr>
          <w:sz w:val="24"/>
          <w:szCs w:val="24"/>
        </w:rPr>
        <w:t>“P</w:t>
      </w:r>
      <w:r w:rsidRPr="00263CF7">
        <w:rPr>
          <w:sz w:val="24"/>
          <w:szCs w:val="24"/>
        </w:rPr>
        <w:t xml:space="preserve">rior </w:t>
      </w:r>
      <w:r w:rsidR="00280FC0">
        <w:rPr>
          <w:sz w:val="24"/>
          <w:szCs w:val="24"/>
        </w:rPr>
        <w:t>Y</w:t>
      </w:r>
      <w:r w:rsidRPr="00263CF7">
        <w:rPr>
          <w:sz w:val="24"/>
          <w:szCs w:val="24"/>
        </w:rPr>
        <w:t xml:space="preserve">ear </w:t>
      </w:r>
      <w:r w:rsidR="00280FC0">
        <w:rPr>
          <w:sz w:val="24"/>
          <w:szCs w:val="24"/>
        </w:rPr>
        <w:t>B</w:t>
      </w:r>
      <w:r w:rsidRPr="00263CF7">
        <w:rPr>
          <w:sz w:val="24"/>
          <w:szCs w:val="24"/>
        </w:rPr>
        <w:t xml:space="preserve">ased on </w:t>
      </w:r>
      <w:r w:rsidR="00280FC0">
        <w:rPr>
          <w:sz w:val="24"/>
          <w:szCs w:val="24"/>
        </w:rPr>
        <w:t>A</w:t>
      </w:r>
      <w:r w:rsidRPr="00263CF7">
        <w:rPr>
          <w:sz w:val="24"/>
          <w:szCs w:val="24"/>
        </w:rPr>
        <w:t xml:space="preserve">udited </w:t>
      </w:r>
      <w:r w:rsidR="00280FC0">
        <w:rPr>
          <w:sz w:val="24"/>
          <w:szCs w:val="24"/>
        </w:rPr>
        <w:t>F</w:t>
      </w:r>
      <w:r w:rsidRPr="00263CF7">
        <w:rPr>
          <w:sz w:val="24"/>
          <w:szCs w:val="24"/>
        </w:rPr>
        <w:t>inancials</w:t>
      </w:r>
      <w:r w:rsidR="00280FC0">
        <w:rPr>
          <w:sz w:val="24"/>
          <w:szCs w:val="24"/>
        </w:rPr>
        <w:t>”</w:t>
      </w:r>
      <w:r w:rsidRPr="00263CF7">
        <w:rPr>
          <w:sz w:val="24"/>
          <w:szCs w:val="24"/>
        </w:rPr>
        <w:t xml:space="preserve"> should agree </w:t>
      </w:r>
      <w:r w:rsidR="00423DE2">
        <w:rPr>
          <w:sz w:val="24"/>
          <w:szCs w:val="24"/>
        </w:rPr>
        <w:t>with</w:t>
      </w:r>
      <w:r w:rsidR="00423DE2" w:rsidRPr="00263CF7">
        <w:rPr>
          <w:sz w:val="24"/>
          <w:szCs w:val="24"/>
        </w:rPr>
        <w:t xml:space="preserve"> </w:t>
      </w:r>
      <w:r w:rsidRPr="00263CF7">
        <w:rPr>
          <w:sz w:val="24"/>
          <w:szCs w:val="24"/>
        </w:rPr>
        <w:t xml:space="preserve">the amounts taken from the audited financial statements. If there is a variance, include a reconciliation. Amounts in the other columns should be reported </w:t>
      </w:r>
      <w:r w:rsidR="00280FC0">
        <w:rPr>
          <w:sz w:val="24"/>
          <w:szCs w:val="24"/>
        </w:rPr>
        <w:t>consistent</w:t>
      </w:r>
      <w:r w:rsidRPr="00263CF7">
        <w:rPr>
          <w:sz w:val="24"/>
          <w:szCs w:val="24"/>
        </w:rPr>
        <w:t xml:space="preserve"> with </w:t>
      </w:r>
      <w:r w:rsidR="00423DE2">
        <w:rPr>
          <w:sz w:val="24"/>
          <w:szCs w:val="24"/>
        </w:rPr>
        <w:t>the treatment of</w:t>
      </w:r>
      <w:r w:rsidRPr="00263CF7">
        <w:rPr>
          <w:sz w:val="24"/>
          <w:szCs w:val="24"/>
        </w:rPr>
        <w:t xml:space="preserve"> similar amounts under </w:t>
      </w:r>
      <w:r w:rsidR="0043266E">
        <w:rPr>
          <w:sz w:val="24"/>
          <w:szCs w:val="24"/>
        </w:rPr>
        <w:t>Generally Applied Accounting Principles (</w:t>
      </w:r>
      <w:r w:rsidRPr="00263CF7">
        <w:rPr>
          <w:sz w:val="24"/>
          <w:szCs w:val="24"/>
        </w:rPr>
        <w:t>GAAP</w:t>
      </w:r>
      <w:r w:rsidR="0043266E">
        <w:rPr>
          <w:sz w:val="24"/>
          <w:szCs w:val="24"/>
        </w:rPr>
        <w:t>)</w:t>
      </w:r>
      <w:r w:rsidRPr="00263CF7">
        <w:rPr>
          <w:sz w:val="24"/>
          <w:szCs w:val="24"/>
        </w:rPr>
        <w:t xml:space="preserve"> in the audited financials.</w:t>
      </w:r>
    </w:p>
    <w:p w14:paraId="334CA9CD" w14:textId="5C88DEAD" w:rsidR="00037AA8" w:rsidRPr="00512F72" w:rsidRDefault="00AD3E3D" w:rsidP="00FF77C1">
      <w:pPr>
        <w:rPr>
          <w:sz w:val="28"/>
          <w:szCs w:val="28"/>
        </w:rPr>
      </w:pPr>
      <w:r>
        <w:rPr>
          <w:sz w:val="28"/>
          <w:szCs w:val="28"/>
        </w:rPr>
        <w:br w:type="page"/>
      </w:r>
      <w:bookmarkStart w:id="15" w:name="_Toc99726037"/>
      <w:r w:rsidR="00037AA8" w:rsidRPr="00512F72">
        <w:rPr>
          <w:sz w:val="28"/>
          <w:szCs w:val="28"/>
        </w:rPr>
        <w:t>Budgeted or Forecasted Results</w:t>
      </w:r>
      <w:bookmarkEnd w:id="15"/>
      <w:r w:rsidR="00037AA8" w:rsidRPr="00512F72">
        <w:rPr>
          <w:sz w:val="28"/>
          <w:szCs w:val="28"/>
        </w:rPr>
        <w:t xml:space="preserve"> </w:t>
      </w:r>
    </w:p>
    <w:p w14:paraId="1F1ADAFE" w14:textId="77777777" w:rsidR="00037AA8" w:rsidRPr="00263CF7" w:rsidRDefault="00037AA8" w:rsidP="009E1C75">
      <w:pPr>
        <w:pStyle w:val="BodyText"/>
        <w:numPr>
          <w:ilvl w:val="2"/>
          <w:numId w:val="12"/>
        </w:numPr>
        <w:spacing w:before="160" w:after="160"/>
        <w:rPr>
          <w:sz w:val="24"/>
          <w:szCs w:val="24"/>
        </w:rPr>
      </w:pPr>
      <w:r w:rsidRPr="00263CF7">
        <w:rPr>
          <w:sz w:val="24"/>
          <w:szCs w:val="24"/>
        </w:rPr>
        <w:t>Key Assumptions</w:t>
      </w:r>
    </w:p>
    <w:p w14:paraId="644FFA9E" w14:textId="68533A41" w:rsidR="00037AA8" w:rsidRDefault="00037AA8" w:rsidP="0043266E">
      <w:pPr>
        <w:pStyle w:val="BodyText"/>
        <w:spacing w:before="160" w:after="160" w:line="276" w:lineRule="auto"/>
        <w:ind w:left="1440"/>
        <w:rPr>
          <w:sz w:val="24"/>
          <w:szCs w:val="24"/>
        </w:rPr>
      </w:pPr>
      <w:r w:rsidRPr="00263CF7">
        <w:rPr>
          <w:sz w:val="24"/>
          <w:szCs w:val="24"/>
        </w:rPr>
        <w:t xml:space="preserve">Provide a summary of key assumptions used in the development of the next </w:t>
      </w:r>
      <w:r w:rsidR="00FA7E82">
        <w:rPr>
          <w:sz w:val="24"/>
          <w:szCs w:val="24"/>
        </w:rPr>
        <w:t>year’s</w:t>
      </w:r>
      <w:r w:rsidR="00FA7E82" w:rsidRPr="00263CF7">
        <w:rPr>
          <w:sz w:val="24"/>
          <w:szCs w:val="24"/>
        </w:rPr>
        <w:t xml:space="preserve"> </w:t>
      </w:r>
      <w:r w:rsidRPr="00263CF7">
        <w:rPr>
          <w:sz w:val="24"/>
          <w:szCs w:val="24"/>
        </w:rPr>
        <w:t>budget or forecasted income statements, including</w:t>
      </w:r>
      <w:r w:rsidR="00ED3AF0">
        <w:rPr>
          <w:sz w:val="24"/>
          <w:szCs w:val="24"/>
        </w:rPr>
        <w:t>,</w:t>
      </w:r>
      <w:r w:rsidRPr="00263CF7">
        <w:rPr>
          <w:sz w:val="24"/>
          <w:szCs w:val="24"/>
        </w:rPr>
        <w:t xml:space="preserve"> but not limited to</w:t>
      </w:r>
      <w:r w:rsidR="00ED3AF0">
        <w:rPr>
          <w:sz w:val="24"/>
          <w:szCs w:val="24"/>
        </w:rPr>
        <w:t>,</w:t>
      </w:r>
      <w:r w:rsidRPr="00263CF7">
        <w:rPr>
          <w:sz w:val="24"/>
          <w:szCs w:val="24"/>
        </w:rPr>
        <w:t xml:space="preserve"> key volume changes, payor rates, labor cost, supply, drug, and other expense increases.</w:t>
      </w:r>
    </w:p>
    <w:p w14:paraId="6E88758E" w14:textId="77777777" w:rsidR="001F44F2" w:rsidRPr="00263CF7" w:rsidRDefault="001F44F2" w:rsidP="001F44F2">
      <w:pPr>
        <w:pStyle w:val="BodyText"/>
        <w:spacing w:before="160" w:after="160" w:line="276" w:lineRule="auto"/>
        <w:ind w:left="1440"/>
        <w:rPr>
          <w:sz w:val="24"/>
          <w:szCs w:val="24"/>
        </w:rPr>
      </w:pPr>
      <w:r>
        <w:rPr>
          <w:rFonts w:ascii="Verdana" w:hAnsi="Verdana"/>
          <w:i/>
          <w:iCs/>
        </w:rPr>
        <w:fldChar w:fldCharType="begin">
          <w:ffData>
            <w:name w:val="Text4"/>
            <w:enabled/>
            <w:calcOnExit w:val="0"/>
            <w:textInput>
              <w:default w:val="Enter narrative response here and note any additional attachments associated with this data request."/>
            </w:textInput>
          </w:ffData>
        </w:fldChar>
      </w:r>
      <w:r>
        <w:rPr>
          <w:rFonts w:ascii="Verdana" w:hAnsi="Verdana"/>
          <w:i/>
          <w:iCs/>
        </w:rPr>
        <w:instrText xml:space="preserve"> FORMTEXT </w:instrText>
      </w:r>
      <w:r>
        <w:rPr>
          <w:rFonts w:ascii="Verdana" w:hAnsi="Verdana"/>
          <w:i/>
          <w:iCs/>
        </w:rPr>
      </w:r>
      <w:r>
        <w:rPr>
          <w:rFonts w:ascii="Verdana" w:hAnsi="Verdana"/>
          <w:i/>
          <w:iCs/>
        </w:rPr>
        <w:fldChar w:fldCharType="separate"/>
      </w:r>
      <w:r>
        <w:rPr>
          <w:rFonts w:ascii="Verdana" w:hAnsi="Verdana"/>
          <w:i/>
          <w:iCs/>
          <w:noProof/>
        </w:rPr>
        <w:t>Enter narrative response here and note any additional attachments associated with this data request.</w:t>
      </w:r>
      <w:r>
        <w:rPr>
          <w:rFonts w:ascii="Verdana" w:hAnsi="Verdana"/>
          <w:i/>
          <w:iCs/>
        </w:rPr>
        <w:fldChar w:fldCharType="end"/>
      </w:r>
    </w:p>
    <w:p w14:paraId="62EB7284" w14:textId="0B5DBAA4" w:rsidR="00037AA8" w:rsidRDefault="00335EB8" w:rsidP="0043266E">
      <w:pPr>
        <w:pStyle w:val="BodyText"/>
        <w:numPr>
          <w:ilvl w:val="2"/>
          <w:numId w:val="12"/>
        </w:numPr>
        <w:spacing w:before="360" w:after="160"/>
        <w:rPr>
          <w:sz w:val="24"/>
          <w:szCs w:val="24"/>
        </w:rPr>
      </w:pPr>
      <w:r w:rsidRPr="00EF7823">
        <w:rPr>
          <w:sz w:val="24"/>
          <w:szCs w:val="24"/>
        </w:rPr>
        <w:t>Additional</w:t>
      </w:r>
      <w:r w:rsidRPr="00263CF7">
        <w:rPr>
          <w:sz w:val="24"/>
          <w:szCs w:val="24"/>
        </w:rPr>
        <w:t xml:space="preserve"> </w:t>
      </w:r>
      <w:r w:rsidR="00037AA8" w:rsidRPr="00263CF7">
        <w:rPr>
          <w:sz w:val="24"/>
          <w:szCs w:val="24"/>
        </w:rPr>
        <w:t>Information</w:t>
      </w:r>
    </w:p>
    <w:p w14:paraId="2A954BC0" w14:textId="44C5F4FC" w:rsidR="001F44F2" w:rsidRDefault="001F44F2" w:rsidP="001F44F2">
      <w:pPr>
        <w:pStyle w:val="BodyText"/>
        <w:spacing w:before="160" w:after="160" w:line="276" w:lineRule="auto"/>
        <w:ind w:left="1440"/>
        <w:rPr>
          <w:rFonts w:ascii="Verdana" w:hAnsi="Verdana"/>
          <w:i/>
          <w:iCs/>
        </w:rPr>
      </w:pPr>
      <w:r>
        <w:rPr>
          <w:rFonts w:ascii="Verdana" w:hAnsi="Verdana"/>
          <w:i/>
          <w:iCs/>
        </w:rPr>
        <w:fldChar w:fldCharType="begin">
          <w:ffData>
            <w:name w:val="Text4"/>
            <w:enabled/>
            <w:calcOnExit w:val="0"/>
            <w:textInput>
              <w:default w:val="Enter narrative response here and note any additional attachments associated with this data request."/>
            </w:textInput>
          </w:ffData>
        </w:fldChar>
      </w:r>
      <w:r>
        <w:rPr>
          <w:rFonts w:ascii="Verdana" w:hAnsi="Verdana"/>
          <w:i/>
          <w:iCs/>
        </w:rPr>
        <w:instrText xml:space="preserve"> FORMTEXT </w:instrText>
      </w:r>
      <w:r>
        <w:rPr>
          <w:rFonts w:ascii="Verdana" w:hAnsi="Verdana"/>
          <w:i/>
          <w:iCs/>
        </w:rPr>
      </w:r>
      <w:r>
        <w:rPr>
          <w:rFonts w:ascii="Verdana" w:hAnsi="Verdana"/>
          <w:i/>
          <w:iCs/>
        </w:rPr>
        <w:fldChar w:fldCharType="separate"/>
      </w:r>
      <w:r>
        <w:rPr>
          <w:rFonts w:ascii="Verdana" w:hAnsi="Verdana"/>
          <w:i/>
          <w:iCs/>
          <w:noProof/>
        </w:rPr>
        <w:t>Enter narrative response here and note any additional attachments associated with this data request.</w:t>
      </w:r>
      <w:r>
        <w:rPr>
          <w:rFonts w:ascii="Verdana" w:hAnsi="Verdana"/>
          <w:i/>
          <w:iCs/>
        </w:rPr>
        <w:fldChar w:fldCharType="end"/>
      </w:r>
    </w:p>
    <w:p w14:paraId="5A1A7A9B" w14:textId="7CA2C49D" w:rsidR="00037AA8" w:rsidRPr="00263CF7" w:rsidRDefault="00037AA8" w:rsidP="00E34802">
      <w:pPr>
        <w:pStyle w:val="BodyText"/>
        <w:spacing w:before="360" w:after="160" w:line="276" w:lineRule="auto"/>
        <w:ind w:left="1440"/>
        <w:rPr>
          <w:sz w:val="24"/>
          <w:szCs w:val="24"/>
        </w:rPr>
      </w:pPr>
      <w:r w:rsidRPr="00263CF7">
        <w:rPr>
          <w:sz w:val="24"/>
          <w:szCs w:val="24"/>
        </w:rPr>
        <w:t xml:space="preserve">Provide </w:t>
      </w:r>
      <w:r w:rsidR="00FA7E82">
        <w:rPr>
          <w:sz w:val="24"/>
          <w:szCs w:val="24"/>
        </w:rPr>
        <w:t>an</w:t>
      </w:r>
      <w:r w:rsidR="00423DE2">
        <w:rPr>
          <w:sz w:val="24"/>
          <w:szCs w:val="24"/>
        </w:rPr>
        <w:t xml:space="preserve"> additional </w:t>
      </w:r>
      <w:r w:rsidRPr="00263CF7">
        <w:rPr>
          <w:sz w:val="24"/>
          <w:szCs w:val="24"/>
        </w:rPr>
        <w:t xml:space="preserve">narrative </w:t>
      </w:r>
      <w:r w:rsidR="00423DE2">
        <w:rPr>
          <w:sz w:val="24"/>
          <w:szCs w:val="24"/>
        </w:rPr>
        <w:t>to</w:t>
      </w:r>
      <w:r w:rsidRPr="00263CF7">
        <w:rPr>
          <w:sz w:val="24"/>
          <w:szCs w:val="24"/>
        </w:rPr>
        <w:t xml:space="preserve"> assist HHSC in </w:t>
      </w:r>
      <w:r w:rsidR="00FA7E82">
        <w:rPr>
          <w:sz w:val="24"/>
          <w:szCs w:val="24"/>
        </w:rPr>
        <w:t>evaluating</w:t>
      </w:r>
      <w:r w:rsidRPr="00263CF7">
        <w:rPr>
          <w:sz w:val="24"/>
          <w:szCs w:val="24"/>
        </w:rPr>
        <w:t xml:space="preserve"> benefits to the public from a rate </w:t>
      </w:r>
      <w:r w:rsidR="00A6395A">
        <w:rPr>
          <w:sz w:val="24"/>
          <w:szCs w:val="24"/>
        </w:rPr>
        <w:t>change</w:t>
      </w:r>
      <w:r w:rsidRPr="00263CF7">
        <w:rPr>
          <w:sz w:val="24"/>
          <w:szCs w:val="24"/>
        </w:rPr>
        <w:t>.</w:t>
      </w:r>
    </w:p>
    <w:p w14:paraId="29293EFC" w14:textId="315180F2" w:rsidR="00037AA8" w:rsidRPr="00512F72" w:rsidRDefault="00037AA8" w:rsidP="00E34802">
      <w:pPr>
        <w:pStyle w:val="Heading4"/>
        <w:numPr>
          <w:ilvl w:val="0"/>
          <w:numId w:val="13"/>
        </w:numPr>
        <w:spacing w:before="360"/>
        <w:ind w:left="1454" w:hanging="907"/>
        <w:rPr>
          <w:sz w:val="28"/>
          <w:szCs w:val="28"/>
        </w:rPr>
      </w:pPr>
      <w:bookmarkStart w:id="16" w:name="_Toc99725590"/>
      <w:bookmarkStart w:id="17" w:name="_Toc99726038"/>
      <w:bookmarkStart w:id="18" w:name="_Toc99725591"/>
      <w:bookmarkStart w:id="19" w:name="_Toc99726039"/>
      <w:bookmarkStart w:id="20" w:name="_Toc99725592"/>
      <w:bookmarkStart w:id="21" w:name="_Toc99726040"/>
      <w:bookmarkStart w:id="22" w:name="_Toc99726041"/>
      <w:bookmarkEnd w:id="16"/>
      <w:bookmarkEnd w:id="17"/>
      <w:bookmarkEnd w:id="18"/>
      <w:bookmarkEnd w:id="19"/>
      <w:bookmarkEnd w:id="20"/>
      <w:bookmarkEnd w:id="21"/>
      <w:r w:rsidRPr="00512F72">
        <w:rPr>
          <w:sz w:val="28"/>
          <w:szCs w:val="28"/>
        </w:rPr>
        <w:t xml:space="preserve">Test of </w:t>
      </w:r>
      <w:r w:rsidR="00D30994">
        <w:rPr>
          <w:sz w:val="28"/>
          <w:szCs w:val="28"/>
        </w:rPr>
        <w:t>Ratio of Costs to Charges (</w:t>
      </w:r>
      <w:r w:rsidRPr="00512F72">
        <w:rPr>
          <w:sz w:val="28"/>
          <w:szCs w:val="28"/>
        </w:rPr>
        <w:t>RCC</w:t>
      </w:r>
      <w:r w:rsidR="00D30994">
        <w:rPr>
          <w:sz w:val="28"/>
          <w:szCs w:val="28"/>
        </w:rPr>
        <w:t>)</w:t>
      </w:r>
      <w:r w:rsidRPr="00512F72">
        <w:rPr>
          <w:sz w:val="28"/>
          <w:szCs w:val="28"/>
        </w:rPr>
        <w:t xml:space="preserve"> Reasonableness</w:t>
      </w:r>
      <w:bookmarkEnd w:id="22"/>
    </w:p>
    <w:p w14:paraId="7D065E77" w14:textId="769C8DE7" w:rsidR="00A6395A" w:rsidRDefault="00423DE2" w:rsidP="00E34802">
      <w:pPr>
        <w:pStyle w:val="BodyText"/>
        <w:spacing w:before="160" w:after="160" w:line="276" w:lineRule="auto"/>
        <w:ind w:left="1440"/>
        <w:rPr>
          <w:sz w:val="24"/>
          <w:szCs w:val="24"/>
        </w:rPr>
      </w:pPr>
      <w:r>
        <w:rPr>
          <w:sz w:val="24"/>
          <w:szCs w:val="24"/>
        </w:rPr>
        <w:t xml:space="preserve">Use </w:t>
      </w:r>
      <w:r w:rsidR="00A6395A">
        <w:rPr>
          <w:sz w:val="24"/>
          <w:szCs w:val="24"/>
        </w:rPr>
        <w:t>Appendix B, Tab</w:t>
      </w:r>
      <w:r w:rsidR="00037AA8" w:rsidRPr="00263CF7">
        <w:rPr>
          <w:sz w:val="24"/>
          <w:szCs w:val="24"/>
        </w:rPr>
        <w:t xml:space="preserve"> 7 </w:t>
      </w:r>
      <w:r w:rsidR="00A6395A">
        <w:rPr>
          <w:sz w:val="24"/>
          <w:szCs w:val="24"/>
        </w:rPr>
        <w:t>“</w:t>
      </w:r>
      <w:r w:rsidR="00037AA8" w:rsidRPr="00263CF7">
        <w:rPr>
          <w:sz w:val="24"/>
          <w:szCs w:val="24"/>
        </w:rPr>
        <w:t>RCC Reasonableness</w:t>
      </w:r>
      <w:r w:rsidR="00A6395A">
        <w:rPr>
          <w:sz w:val="24"/>
          <w:szCs w:val="24"/>
        </w:rPr>
        <w:t>”</w:t>
      </w:r>
      <w:r>
        <w:rPr>
          <w:sz w:val="24"/>
          <w:szCs w:val="24"/>
        </w:rPr>
        <w:t xml:space="preserve"> to provide the following information</w:t>
      </w:r>
      <w:r w:rsidR="00A6395A">
        <w:rPr>
          <w:sz w:val="24"/>
          <w:szCs w:val="24"/>
        </w:rPr>
        <w:t>:</w:t>
      </w:r>
    </w:p>
    <w:p w14:paraId="2A9057DE" w14:textId="2CA59D3D" w:rsidR="00423DE2" w:rsidRDefault="00423DE2" w:rsidP="00423DE2">
      <w:pPr>
        <w:pStyle w:val="BodyText"/>
        <w:numPr>
          <w:ilvl w:val="0"/>
          <w:numId w:val="23"/>
        </w:numPr>
        <w:spacing w:before="160" w:after="160" w:line="276" w:lineRule="auto"/>
        <w:rPr>
          <w:sz w:val="24"/>
          <w:szCs w:val="24"/>
        </w:rPr>
      </w:pPr>
      <w:r w:rsidRPr="00263CF7">
        <w:rPr>
          <w:sz w:val="24"/>
          <w:szCs w:val="24"/>
        </w:rPr>
        <w:t xml:space="preserve">Total </w:t>
      </w:r>
      <w:r w:rsidR="00037AA8" w:rsidRPr="00263CF7">
        <w:rPr>
          <w:sz w:val="24"/>
          <w:szCs w:val="24"/>
        </w:rPr>
        <w:t xml:space="preserve">charges for the merged hospital from Worksheet C, Part I, Column 8, </w:t>
      </w:r>
      <w:r w:rsidR="00ED3AF0">
        <w:rPr>
          <w:sz w:val="24"/>
          <w:szCs w:val="24"/>
        </w:rPr>
        <w:t>L</w:t>
      </w:r>
      <w:r w:rsidR="00037AA8" w:rsidRPr="00263CF7">
        <w:rPr>
          <w:sz w:val="24"/>
          <w:szCs w:val="24"/>
        </w:rPr>
        <w:t>ine 202</w:t>
      </w:r>
      <w:r>
        <w:rPr>
          <w:sz w:val="24"/>
          <w:szCs w:val="24"/>
        </w:rPr>
        <w:t>;</w:t>
      </w:r>
    </w:p>
    <w:p w14:paraId="0050F5F0" w14:textId="393243CD" w:rsidR="00423DE2" w:rsidRDefault="00423DE2" w:rsidP="00423DE2">
      <w:pPr>
        <w:pStyle w:val="BodyText"/>
        <w:numPr>
          <w:ilvl w:val="0"/>
          <w:numId w:val="23"/>
        </w:numPr>
        <w:spacing w:before="160" w:after="160" w:line="276" w:lineRule="auto"/>
        <w:rPr>
          <w:sz w:val="24"/>
          <w:szCs w:val="24"/>
        </w:rPr>
      </w:pPr>
      <w:r w:rsidRPr="00263CF7">
        <w:rPr>
          <w:sz w:val="24"/>
          <w:szCs w:val="24"/>
        </w:rPr>
        <w:t xml:space="preserve">Allowable </w:t>
      </w:r>
      <w:r w:rsidR="00037AA8" w:rsidRPr="00263CF7">
        <w:rPr>
          <w:sz w:val="24"/>
          <w:szCs w:val="24"/>
        </w:rPr>
        <w:t xml:space="preserve">cost from Worksheet C, Part I, Column 3, Line </w:t>
      </w:r>
      <w:r w:rsidR="004B1D12" w:rsidRPr="00263CF7">
        <w:rPr>
          <w:sz w:val="24"/>
          <w:szCs w:val="24"/>
        </w:rPr>
        <w:t>202</w:t>
      </w:r>
      <w:r>
        <w:rPr>
          <w:sz w:val="24"/>
          <w:szCs w:val="24"/>
        </w:rPr>
        <w:t>;</w:t>
      </w:r>
      <w:r w:rsidRPr="00263CF7">
        <w:rPr>
          <w:sz w:val="24"/>
          <w:szCs w:val="24"/>
        </w:rPr>
        <w:t xml:space="preserve"> </w:t>
      </w:r>
      <w:r w:rsidR="00037AA8" w:rsidRPr="00263CF7">
        <w:rPr>
          <w:sz w:val="24"/>
          <w:szCs w:val="24"/>
        </w:rPr>
        <w:t>and</w:t>
      </w:r>
    </w:p>
    <w:p w14:paraId="379A5A19" w14:textId="59590CF5" w:rsidR="00D30994" w:rsidRDefault="00423DE2" w:rsidP="00E34802">
      <w:pPr>
        <w:pStyle w:val="BodyText"/>
        <w:numPr>
          <w:ilvl w:val="0"/>
          <w:numId w:val="23"/>
        </w:numPr>
        <w:spacing w:before="160" w:after="160" w:line="276" w:lineRule="auto"/>
        <w:rPr>
          <w:sz w:val="24"/>
          <w:szCs w:val="24"/>
        </w:rPr>
      </w:pPr>
      <w:r w:rsidRPr="00263CF7">
        <w:rPr>
          <w:sz w:val="24"/>
          <w:szCs w:val="24"/>
        </w:rPr>
        <w:t xml:space="preserve">Cost </w:t>
      </w:r>
      <w:r w:rsidR="00037AA8" w:rsidRPr="00263CF7">
        <w:rPr>
          <w:sz w:val="24"/>
          <w:szCs w:val="24"/>
        </w:rPr>
        <w:t xml:space="preserve">to charge ratio reported on Worksheet S-10 from the most recent </w:t>
      </w:r>
      <w:r w:rsidR="00037AA8" w:rsidRPr="00C578C0">
        <w:rPr>
          <w:sz w:val="24"/>
          <w:szCs w:val="24"/>
        </w:rPr>
        <w:t>Medicare cost report.</w:t>
      </w:r>
    </w:p>
    <w:p w14:paraId="2E620843" w14:textId="208CF733" w:rsidR="00037AA8" w:rsidRPr="00263CF7" w:rsidRDefault="00343988" w:rsidP="00E34802">
      <w:pPr>
        <w:pStyle w:val="BodyText"/>
        <w:spacing w:before="160" w:after="160" w:line="276" w:lineRule="auto"/>
        <w:ind w:left="1440"/>
        <w:rPr>
          <w:sz w:val="24"/>
          <w:szCs w:val="24"/>
        </w:rPr>
      </w:pPr>
      <w:r>
        <w:rPr>
          <w:sz w:val="24"/>
          <w:szCs w:val="24"/>
        </w:rPr>
        <w:t xml:space="preserve">An example schedule of RCC Reasonableness is included </w:t>
      </w:r>
      <w:r w:rsidR="00FA7E82">
        <w:rPr>
          <w:sz w:val="24"/>
          <w:szCs w:val="24"/>
        </w:rPr>
        <w:t xml:space="preserve">in </w:t>
      </w:r>
      <w:r w:rsidR="00D30994">
        <w:rPr>
          <w:sz w:val="24"/>
          <w:szCs w:val="24"/>
        </w:rPr>
        <w:t>Appendix B.</w:t>
      </w:r>
    </w:p>
    <w:p w14:paraId="01E3CD75" w14:textId="585FE364" w:rsidR="00037AA8" w:rsidRPr="00512F72" w:rsidRDefault="00037AA8" w:rsidP="00E34802">
      <w:pPr>
        <w:pStyle w:val="Heading4"/>
        <w:numPr>
          <w:ilvl w:val="0"/>
          <w:numId w:val="13"/>
        </w:numPr>
        <w:spacing w:before="360"/>
        <w:ind w:left="1454" w:hanging="907"/>
        <w:rPr>
          <w:sz w:val="28"/>
          <w:szCs w:val="28"/>
        </w:rPr>
      </w:pPr>
      <w:bookmarkStart w:id="23" w:name="_Toc99726042"/>
      <w:r w:rsidRPr="00512F72">
        <w:rPr>
          <w:sz w:val="28"/>
          <w:szCs w:val="28"/>
        </w:rPr>
        <w:t>Rate Comparison</w:t>
      </w:r>
      <w:bookmarkEnd w:id="23"/>
    </w:p>
    <w:p w14:paraId="177B22E7" w14:textId="29E58FB7" w:rsidR="00550009" w:rsidRDefault="00423DE2" w:rsidP="00E34802">
      <w:pPr>
        <w:pStyle w:val="BodyText"/>
        <w:spacing w:before="160" w:after="160" w:line="276" w:lineRule="auto"/>
        <w:ind w:left="1440"/>
        <w:rPr>
          <w:sz w:val="24"/>
          <w:szCs w:val="24"/>
        </w:rPr>
      </w:pPr>
      <w:r>
        <w:rPr>
          <w:sz w:val="24"/>
          <w:szCs w:val="24"/>
        </w:rPr>
        <w:t xml:space="preserve">Use </w:t>
      </w:r>
      <w:r w:rsidR="00550009">
        <w:rPr>
          <w:sz w:val="24"/>
          <w:szCs w:val="24"/>
        </w:rPr>
        <w:t>Appendix B, T</w:t>
      </w:r>
      <w:r w:rsidR="00550009" w:rsidRPr="00263CF7">
        <w:rPr>
          <w:sz w:val="24"/>
          <w:szCs w:val="24"/>
        </w:rPr>
        <w:t>ab 8</w:t>
      </w:r>
      <w:r w:rsidR="00550009">
        <w:rPr>
          <w:sz w:val="24"/>
          <w:szCs w:val="24"/>
        </w:rPr>
        <w:t xml:space="preserve"> “</w:t>
      </w:r>
      <w:r w:rsidR="00682CA0">
        <w:rPr>
          <w:sz w:val="24"/>
          <w:szCs w:val="24"/>
        </w:rPr>
        <w:t xml:space="preserve">Rate </w:t>
      </w:r>
      <w:r w:rsidR="00550009">
        <w:rPr>
          <w:sz w:val="24"/>
          <w:szCs w:val="24"/>
        </w:rPr>
        <w:t>Comparison”</w:t>
      </w:r>
      <w:r>
        <w:rPr>
          <w:sz w:val="24"/>
          <w:szCs w:val="24"/>
        </w:rPr>
        <w:t xml:space="preserve"> to provide the following information</w:t>
      </w:r>
      <w:r w:rsidR="00550009">
        <w:rPr>
          <w:sz w:val="24"/>
          <w:szCs w:val="24"/>
        </w:rPr>
        <w:t>:</w:t>
      </w:r>
    </w:p>
    <w:p w14:paraId="516E814B" w14:textId="71A35DF3" w:rsidR="00423DE2" w:rsidRDefault="00550009" w:rsidP="00E34802">
      <w:pPr>
        <w:pStyle w:val="BodyText"/>
        <w:numPr>
          <w:ilvl w:val="0"/>
          <w:numId w:val="24"/>
        </w:numPr>
        <w:spacing w:before="160" w:after="160" w:line="276" w:lineRule="auto"/>
        <w:contextualSpacing/>
        <w:rPr>
          <w:sz w:val="24"/>
          <w:szCs w:val="24"/>
        </w:rPr>
      </w:pPr>
      <w:r>
        <w:rPr>
          <w:sz w:val="24"/>
          <w:szCs w:val="24"/>
        </w:rPr>
        <w:t>Current Procedural Terminology (</w:t>
      </w:r>
      <w:r w:rsidR="00037AA8" w:rsidRPr="00263CF7">
        <w:rPr>
          <w:sz w:val="24"/>
          <w:szCs w:val="24"/>
        </w:rPr>
        <w:t>CPT</w:t>
      </w:r>
      <w:r>
        <w:rPr>
          <w:sz w:val="24"/>
          <w:szCs w:val="24"/>
        </w:rPr>
        <w:t>)</w:t>
      </w:r>
      <w:r w:rsidR="00037AA8" w:rsidRPr="00263CF7">
        <w:rPr>
          <w:sz w:val="24"/>
          <w:szCs w:val="24"/>
        </w:rPr>
        <w:t xml:space="preserve"> code,</w:t>
      </w:r>
    </w:p>
    <w:p w14:paraId="4B5A34BB" w14:textId="23581F53" w:rsidR="00423DE2" w:rsidRDefault="00037AA8" w:rsidP="00E34802">
      <w:pPr>
        <w:pStyle w:val="BodyText"/>
        <w:numPr>
          <w:ilvl w:val="0"/>
          <w:numId w:val="24"/>
        </w:numPr>
        <w:spacing w:before="160" w:after="160" w:line="276" w:lineRule="auto"/>
        <w:contextualSpacing/>
        <w:rPr>
          <w:sz w:val="24"/>
          <w:szCs w:val="24"/>
        </w:rPr>
      </w:pPr>
      <w:r w:rsidRPr="00263CF7">
        <w:rPr>
          <w:sz w:val="24"/>
          <w:szCs w:val="24"/>
        </w:rPr>
        <w:t>Rate Description,</w:t>
      </w:r>
    </w:p>
    <w:p w14:paraId="19BE844F" w14:textId="06B68A4C" w:rsidR="00423DE2" w:rsidRDefault="00037AA8" w:rsidP="00E34802">
      <w:pPr>
        <w:pStyle w:val="BodyText"/>
        <w:numPr>
          <w:ilvl w:val="0"/>
          <w:numId w:val="24"/>
        </w:numPr>
        <w:spacing w:before="160" w:after="160" w:line="276" w:lineRule="auto"/>
        <w:contextualSpacing/>
        <w:rPr>
          <w:sz w:val="24"/>
          <w:szCs w:val="24"/>
        </w:rPr>
      </w:pPr>
      <w:r w:rsidRPr="00263CF7">
        <w:rPr>
          <w:sz w:val="24"/>
          <w:szCs w:val="24"/>
        </w:rPr>
        <w:t xml:space="preserve">Merged Hospital Volume </w:t>
      </w:r>
      <w:r w:rsidRPr="00C578C0">
        <w:rPr>
          <w:sz w:val="24"/>
          <w:szCs w:val="24"/>
        </w:rPr>
        <w:t>for the Respective</w:t>
      </w:r>
      <w:r w:rsidRPr="00263CF7">
        <w:rPr>
          <w:sz w:val="24"/>
          <w:szCs w:val="24"/>
        </w:rPr>
        <w:t xml:space="preserve"> </w:t>
      </w:r>
      <w:r w:rsidR="00550009">
        <w:rPr>
          <w:sz w:val="24"/>
          <w:szCs w:val="24"/>
        </w:rPr>
        <w:t>Code</w:t>
      </w:r>
      <w:r w:rsidRPr="00263CF7">
        <w:rPr>
          <w:sz w:val="24"/>
          <w:szCs w:val="24"/>
        </w:rPr>
        <w:t>,</w:t>
      </w:r>
    </w:p>
    <w:p w14:paraId="741E3803" w14:textId="23E4429A" w:rsidR="00423DE2" w:rsidRDefault="00037AA8" w:rsidP="00E34802">
      <w:pPr>
        <w:pStyle w:val="BodyText"/>
        <w:numPr>
          <w:ilvl w:val="0"/>
          <w:numId w:val="24"/>
        </w:numPr>
        <w:spacing w:before="160" w:after="160" w:line="276" w:lineRule="auto"/>
        <w:contextualSpacing/>
        <w:rPr>
          <w:sz w:val="24"/>
          <w:szCs w:val="24"/>
        </w:rPr>
      </w:pPr>
      <w:r w:rsidRPr="00263CF7">
        <w:rPr>
          <w:sz w:val="24"/>
          <w:szCs w:val="24"/>
        </w:rPr>
        <w:t xml:space="preserve">Merged Hospital </w:t>
      </w:r>
      <w:r w:rsidR="004B1D12" w:rsidRPr="00263CF7">
        <w:rPr>
          <w:sz w:val="24"/>
          <w:szCs w:val="24"/>
        </w:rPr>
        <w:t>Rate,</w:t>
      </w:r>
      <w:r w:rsidR="00423DE2" w:rsidRPr="00423DE2">
        <w:rPr>
          <w:sz w:val="24"/>
          <w:szCs w:val="24"/>
        </w:rPr>
        <w:t xml:space="preserve"> </w:t>
      </w:r>
      <w:r w:rsidR="00423DE2" w:rsidRPr="00263CF7">
        <w:rPr>
          <w:sz w:val="24"/>
          <w:szCs w:val="24"/>
        </w:rPr>
        <w:t>and</w:t>
      </w:r>
    </w:p>
    <w:p w14:paraId="1B4DB030" w14:textId="06DBE23E" w:rsidR="002E2998" w:rsidRDefault="00037AA8" w:rsidP="00E34802">
      <w:pPr>
        <w:pStyle w:val="BodyText"/>
        <w:numPr>
          <w:ilvl w:val="0"/>
          <w:numId w:val="24"/>
        </w:numPr>
        <w:spacing w:before="160" w:after="160" w:line="276" w:lineRule="auto"/>
        <w:rPr>
          <w:sz w:val="24"/>
          <w:szCs w:val="24"/>
        </w:rPr>
      </w:pPr>
      <w:r w:rsidRPr="00263CF7">
        <w:rPr>
          <w:sz w:val="24"/>
          <w:szCs w:val="24"/>
        </w:rPr>
        <w:t>Rates of at least five comparable hospitals</w:t>
      </w:r>
      <w:r w:rsidR="00550009">
        <w:rPr>
          <w:sz w:val="24"/>
          <w:szCs w:val="24"/>
        </w:rPr>
        <w:t>.</w:t>
      </w:r>
    </w:p>
    <w:p w14:paraId="715B463F" w14:textId="661F2B4F" w:rsidR="00183735" w:rsidRDefault="00550009" w:rsidP="00E34802">
      <w:pPr>
        <w:pStyle w:val="BodyText"/>
        <w:spacing w:before="160" w:after="160" w:line="276" w:lineRule="auto"/>
        <w:ind w:left="1440"/>
      </w:pPr>
      <w:r>
        <w:rPr>
          <w:sz w:val="24"/>
          <w:szCs w:val="24"/>
        </w:rPr>
        <w:t>An example schedule of Rate Comparison is included in Appendix B.</w:t>
      </w:r>
    </w:p>
    <w:p w14:paraId="0E6CDB23" w14:textId="3C832543" w:rsidR="00037AA8" w:rsidRPr="00512F72" w:rsidRDefault="00037AA8" w:rsidP="00E34802">
      <w:pPr>
        <w:pStyle w:val="Heading4"/>
        <w:numPr>
          <w:ilvl w:val="0"/>
          <w:numId w:val="13"/>
        </w:numPr>
        <w:spacing w:before="360"/>
        <w:ind w:left="1454" w:hanging="907"/>
        <w:rPr>
          <w:sz w:val="28"/>
          <w:szCs w:val="28"/>
        </w:rPr>
      </w:pPr>
      <w:bookmarkStart w:id="24" w:name="_Toc99705435"/>
      <w:bookmarkStart w:id="25" w:name="_Toc99705475"/>
      <w:bookmarkStart w:id="26" w:name="_Toc99705730"/>
      <w:bookmarkStart w:id="27" w:name="_Toc99725595"/>
      <w:bookmarkStart w:id="28" w:name="_Toc99726043"/>
      <w:bookmarkStart w:id="29" w:name="_Toc99726044"/>
      <w:bookmarkEnd w:id="24"/>
      <w:bookmarkEnd w:id="25"/>
      <w:bookmarkEnd w:id="26"/>
      <w:bookmarkEnd w:id="27"/>
      <w:bookmarkEnd w:id="28"/>
      <w:r w:rsidRPr="00512F72">
        <w:rPr>
          <w:sz w:val="28"/>
          <w:szCs w:val="28"/>
        </w:rPr>
        <w:t>Other Comparison</w:t>
      </w:r>
      <w:bookmarkEnd w:id="29"/>
    </w:p>
    <w:p w14:paraId="011F92F4" w14:textId="2CE6C482" w:rsidR="00037AA8" w:rsidRDefault="00682CA0" w:rsidP="00E34802">
      <w:pPr>
        <w:pStyle w:val="BodyText"/>
        <w:spacing w:before="160" w:after="160" w:line="276" w:lineRule="auto"/>
        <w:ind w:left="1440"/>
        <w:rPr>
          <w:sz w:val="24"/>
          <w:szCs w:val="24"/>
        </w:rPr>
      </w:pPr>
      <w:r>
        <w:rPr>
          <w:sz w:val="24"/>
          <w:szCs w:val="24"/>
        </w:rPr>
        <w:t xml:space="preserve">In addition to the required submission, the </w:t>
      </w:r>
      <w:r w:rsidR="00037AA8" w:rsidRPr="00263CF7">
        <w:rPr>
          <w:sz w:val="24"/>
          <w:szCs w:val="24"/>
        </w:rPr>
        <w:t xml:space="preserve">merged hospital may submit </w:t>
      </w:r>
      <w:r>
        <w:rPr>
          <w:sz w:val="24"/>
          <w:szCs w:val="24"/>
        </w:rPr>
        <w:t xml:space="preserve">an </w:t>
      </w:r>
      <w:r w:rsidR="00037AA8" w:rsidRPr="00263CF7">
        <w:rPr>
          <w:sz w:val="24"/>
          <w:szCs w:val="24"/>
        </w:rPr>
        <w:t>alternative comparison of rates for comparable hospitals</w:t>
      </w:r>
      <w:r w:rsidR="00423DE2">
        <w:rPr>
          <w:sz w:val="24"/>
          <w:szCs w:val="24"/>
        </w:rPr>
        <w:t>.</w:t>
      </w:r>
      <w:r w:rsidR="00423DE2" w:rsidRPr="00263CF7">
        <w:rPr>
          <w:sz w:val="24"/>
          <w:szCs w:val="24"/>
        </w:rPr>
        <w:t xml:space="preserve"> </w:t>
      </w:r>
      <w:r w:rsidR="00423DE2">
        <w:rPr>
          <w:sz w:val="24"/>
          <w:szCs w:val="24"/>
        </w:rPr>
        <w:t xml:space="preserve">An alternative rate comparison should </w:t>
      </w:r>
      <w:r w:rsidR="00037AA8" w:rsidRPr="00263CF7">
        <w:rPr>
          <w:sz w:val="24"/>
          <w:szCs w:val="24"/>
        </w:rPr>
        <w:t>explain the data source, methodology (including why the methodology is more appropriate</w:t>
      </w:r>
      <w:r w:rsidR="00E1542E">
        <w:rPr>
          <w:sz w:val="24"/>
          <w:szCs w:val="24"/>
        </w:rPr>
        <w:t>),</w:t>
      </w:r>
      <w:r w:rsidR="00037AA8" w:rsidRPr="00263CF7">
        <w:rPr>
          <w:sz w:val="24"/>
          <w:szCs w:val="24"/>
        </w:rPr>
        <w:t xml:space="preserve"> and calculations</w:t>
      </w:r>
      <w:r w:rsidR="00423DE2">
        <w:rPr>
          <w:sz w:val="24"/>
          <w:szCs w:val="24"/>
        </w:rPr>
        <w:t>. Calculation explanations should</w:t>
      </w:r>
      <w:r w:rsidR="00037AA8" w:rsidRPr="00263CF7">
        <w:rPr>
          <w:sz w:val="24"/>
          <w:szCs w:val="24"/>
        </w:rPr>
        <w:t xml:space="preserve"> includ</w:t>
      </w:r>
      <w:r w:rsidR="00423DE2">
        <w:rPr>
          <w:sz w:val="24"/>
          <w:szCs w:val="24"/>
        </w:rPr>
        <w:t>e,</w:t>
      </w:r>
      <w:r w:rsidR="00037AA8" w:rsidRPr="00263CF7">
        <w:rPr>
          <w:sz w:val="24"/>
          <w:szCs w:val="24"/>
        </w:rPr>
        <w:t xml:space="preserve"> but not </w:t>
      </w:r>
      <w:r w:rsidR="00423DE2">
        <w:rPr>
          <w:sz w:val="24"/>
          <w:szCs w:val="24"/>
        </w:rPr>
        <w:t xml:space="preserve">be </w:t>
      </w:r>
      <w:r w:rsidR="00037AA8" w:rsidRPr="00263CF7">
        <w:rPr>
          <w:sz w:val="24"/>
          <w:szCs w:val="24"/>
        </w:rPr>
        <w:t>limited to</w:t>
      </w:r>
      <w:r w:rsidR="00423DE2">
        <w:rPr>
          <w:sz w:val="24"/>
          <w:szCs w:val="24"/>
        </w:rPr>
        <w:t>,</w:t>
      </w:r>
      <w:r w:rsidR="00037AA8" w:rsidRPr="00263CF7">
        <w:rPr>
          <w:sz w:val="24"/>
          <w:szCs w:val="24"/>
        </w:rPr>
        <w:t xml:space="preserve"> adjustments made for case mix</w:t>
      </w:r>
      <w:r w:rsidR="00E1542E">
        <w:rPr>
          <w:sz w:val="24"/>
          <w:szCs w:val="24"/>
        </w:rPr>
        <w:t xml:space="preserve"> and</w:t>
      </w:r>
      <w:r w:rsidR="00037AA8" w:rsidRPr="00263CF7">
        <w:rPr>
          <w:sz w:val="24"/>
          <w:szCs w:val="24"/>
        </w:rPr>
        <w:t xml:space="preserve"> changes in expense load or payor mix. Any additional methodology </w:t>
      </w:r>
      <w:r w:rsidR="00FA7E82">
        <w:rPr>
          <w:sz w:val="24"/>
          <w:szCs w:val="24"/>
        </w:rPr>
        <w:t>should</w:t>
      </w:r>
      <w:r w:rsidR="00037AA8" w:rsidRPr="00263CF7">
        <w:rPr>
          <w:sz w:val="24"/>
          <w:szCs w:val="24"/>
        </w:rPr>
        <w:t xml:space="preserve"> be noted below and submitted under a separate email.</w:t>
      </w:r>
    </w:p>
    <w:p w14:paraId="335547D3" w14:textId="1970E2B6" w:rsidR="00037AA8" w:rsidRPr="00263CF7" w:rsidRDefault="002E2998" w:rsidP="00E34802">
      <w:pPr>
        <w:pStyle w:val="BodyText"/>
        <w:spacing w:before="160" w:after="160" w:line="276" w:lineRule="auto"/>
        <w:ind w:left="1440"/>
        <w:rPr>
          <w:sz w:val="24"/>
          <w:szCs w:val="24"/>
        </w:rPr>
      </w:pPr>
      <w:r>
        <w:rPr>
          <w:sz w:val="24"/>
          <w:szCs w:val="24"/>
        </w:rPr>
        <w:t>I</w:t>
      </w:r>
      <w:r w:rsidR="00037AA8" w:rsidRPr="00263CF7">
        <w:rPr>
          <w:sz w:val="24"/>
          <w:szCs w:val="24"/>
        </w:rPr>
        <w:t>s an additional methodology being submitted under a separate cover?</w:t>
      </w:r>
    </w:p>
    <w:p w14:paraId="69B1316F" w14:textId="54E6F599" w:rsidR="00037AA8" w:rsidRPr="00263CF7" w:rsidRDefault="001F44F2" w:rsidP="00E34802">
      <w:pPr>
        <w:pStyle w:val="BodyText"/>
        <w:spacing w:before="160" w:after="160" w:line="276" w:lineRule="auto"/>
        <w:ind w:left="1800"/>
        <w:rPr>
          <w:sz w:val="24"/>
          <w:szCs w:val="24"/>
        </w:rPr>
      </w:pPr>
      <w:r>
        <w:rPr>
          <w:sz w:val="24"/>
          <w:szCs w:val="24"/>
        </w:rPr>
        <w:fldChar w:fldCharType="begin">
          <w:ffData>
            <w:name w:val="Check3"/>
            <w:enabled/>
            <w:calcOnExit w:val="0"/>
            <w:checkBox>
              <w:sizeAuto/>
              <w:default w:val="0"/>
            </w:checkBox>
          </w:ffData>
        </w:fldChar>
      </w:r>
      <w:bookmarkStart w:id="30" w:name="Check3"/>
      <w:r>
        <w:rPr>
          <w:sz w:val="24"/>
          <w:szCs w:val="24"/>
        </w:rPr>
        <w:instrText xml:space="preserve"> FORMCHECKBOX </w:instrText>
      </w:r>
      <w:r w:rsidR="00AD7CFE">
        <w:rPr>
          <w:sz w:val="24"/>
          <w:szCs w:val="24"/>
        </w:rPr>
      </w:r>
      <w:r w:rsidR="00AD7CFE">
        <w:rPr>
          <w:sz w:val="24"/>
          <w:szCs w:val="24"/>
        </w:rPr>
        <w:fldChar w:fldCharType="separate"/>
      </w:r>
      <w:r>
        <w:rPr>
          <w:sz w:val="24"/>
          <w:szCs w:val="24"/>
        </w:rPr>
        <w:fldChar w:fldCharType="end"/>
      </w:r>
      <w:bookmarkEnd w:id="30"/>
      <w:r>
        <w:rPr>
          <w:sz w:val="24"/>
          <w:szCs w:val="24"/>
        </w:rPr>
        <w:t xml:space="preserve"> </w:t>
      </w:r>
      <w:r w:rsidR="00E1542E" w:rsidRPr="00994859">
        <w:rPr>
          <w:sz w:val="24"/>
          <w:szCs w:val="24"/>
        </w:rPr>
        <w:t xml:space="preserve">Yes   </w:t>
      </w:r>
      <w:r>
        <w:rPr>
          <w:sz w:val="24"/>
          <w:szCs w:val="24"/>
        </w:rPr>
        <w:fldChar w:fldCharType="begin">
          <w:ffData>
            <w:name w:val="Check4"/>
            <w:enabled/>
            <w:calcOnExit w:val="0"/>
            <w:checkBox>
              <w:sizeAuto/>
              <w:default w:val="0"/>
            </w:checkBox>
          </w:ffData>
        </w:fldChar>
      </w:r>
      <w:bookmarkStart w:id="31" w:name="Check4"/>
      <w:r>
        <w:rPr>
          <w:sz w:val="24"/>
          <w:szCs w:val="24"/>
        </w:rPr>
        <w:instrText xml:space="preserve"> FORMCHECKBOX </w:instrText>
      </w:r>
      <w:r w:rsidR="00AD7CFE">
        <w:rPr>
          <w:sz w:val="24"/>
          <w:szCs w:val="24"/>
        </w:rPr>
      </w:r>
      <w:r w:rsidR="00AD7CFE">
        <w:rPr>
          <w:sz w:val="24"/>
          <w:szCs w:val="24"/>
        </w:rPr>
        <w:fldChar w:fldCharType="separate"/>
      </w:r>
      <w:r>
        <w:rPr>
          <w:sz w:val="24"/>
          <w:szCs w:val="24"/>
        </w:rPr>
        <w:fldChar w:fldCharType="end"/>
      </w:r>
      <w:bookmarkEnd w:id="31"/>
      <w:r>
        <w:rPr>
          <w:sz w:val="24"/>
          <w:szCs w:val="24"/>
        </w:rPr>
        <w:t xml:space="preserve"> </w:t>
      </w:r>
      <w:r w:rsidR="00E1542E" w:rsidRPr="00994859">
        <w:rPr>
          <w:sz w:val="24"/>
          <w:szCs w:val="24"/>
        </w:rPr>
        <w:t>No</w:t>
      </w:r>
    </w:p>
    <w:p w14:paraId="3FB621E6" w14:textId="3E3FA583" w:rsidR="00836009" w:rsidRPr="00512F72" w:rsidRDefault="00E137E6" w:rsidP="00FF77C1">
      <w:pPr>
        <w:rPr>
          <w:sz w:val="28"/>
          <w:szCs w:val="28"/>
        </w:rPr>
      </w:pPr>
      <w:bookmarkStart w:id="32" w:name="_Toc99705437"/>
      <w:bookmarkStart w:id="33" w:name="_Toc99705477"/>
      <w:bookmarkStart w:id="34" w:name="_Toc99705732"/>
      <w:bookmarkStart w:id="35" w:name="_Toc99725597"/>
      <w:bookmarkStart w:id="36" w:name="_Toc99726045"/>
      <w:bookmarkStart w:id="37" w:name="_Toc99705438"/>
      <w:bookmarkStart w:id="38" w:name="_Toc99705478"/>
      <w:bookmarkStart w:id="39" w:name="_Toc99705733"/>
      <w:bookmarkStart w:id="40" w:name="_Toc99725598"/>
      <w:bookmarkStart w:id="41" w:name="_Toc99726046"/>
      <w:bookmarkStart w:id="42" w:name="_Toc99705439"/>
      <w:bookmarkStart w:id="43" w:name="_Toc99705479"/>
      <w:bookmarkStart w:id="44" w:name="_Toc99705734"/>
      <w:bookmarkStart w:id="45" w:name="_Toc99725599"/>
      <w:bookmarkStart w:id="46" w:name="_Toc99726047"/>
      <w:bookmarkStart w:id="47" w:name="_Toc99705440"/>
      <w:bookmarkStart w:id="48" w:name="_Toc99705480"/>
      <w:bookmarkStart w:id="49" w:name="_Toc99705735"/>
      <w:bookmarkStart w:id="50" w:name="_Toc99725600"/>
      <w:bookmarkStart w:id="51" w:name="_Toc99726048"/>
      <w:bookmarkStart w:id="52" w:name="_Toc99705441"/>
      <w:bookmarkStart w:id="53" w:name="_Toc99705481"/>
      <w:bookmarkStart w:id="54" w:name="_Toc99705736"/>
      <w:bookmarkStart w:id="55" w:name="_Toc99725601"/>
      <w:bookmarkStart w:id="56" w:name="_Toc99726049"/>
      <w:bookmarkStart w:id="57" w:name="_Toc99705442"/>
      <w:bookmarkStart w:id="58" w:name="_Toc99705482"/>
      <w:bookmarkStart w:id="59" w:name="_Toc99705737"/>
      <w:bookmarkStart w:id="60" w:name="_Toc99725602"/>
      <w:bookmarkStart w:id="61" w:name="_Toc99726050"/>
      <w:bookmarkStart w:id="62" w:name="_Toc99705443"/>
      <w:bookmarkStart w:id="63" w:name="_Toc99705483"/>
      <w:bookmarkStart w:id="64" w:name="_Toc99705738"/>
      <w:bookmarkStart w:id="65" w:name="_Toc99725603"/>
      <w:bookmarkStart w:id="66" w:name="_Toc99726051"/>
      <w:bookmarkStart w:id="67" w:name="_Toc99705444"/>
      <w:bookmarkStart w:id="68" w:name="_Toc99705484"/>
      <w:bookmarkStart w:id="69" w:name="_Toc99705739"/>
      <w:bookmarkStart w:id="70" w:name="_Toc99725604"/>
      <w:bookmarkStart w:id="71" w:name="_Toc99726052"/>
      <w:bookmarkStart w:id="72" w:name="_Toc99705445"/>
      <w:bookmarkStart w:id="73" w:name="_Toc99705485"/>
      <w:bookmarkStart w:id="74" w:name="_Toc99705740"/>
      <w:bookmarkStart w:id="75" w:name="_Toc99725605"/>
      <w:bookmarkStart w:id="76" w:name="_Toc99726053"/>
      <w:bookmarkStart w:id="77" w:name="_Toc99705446"/>
      <w:bookmarkStart w:id="78" w:name="_Toc99705486"/>
      <w:bookmarkStart w:id="79" w:name="_Toc99705741"/>
      <w:bookmarkStart w:id="80" w:name="_Toc99725606"/>
      <w:bookmarkStart w:id="81" w:name="_Toc99726054"/>
      <w:bookmarkStart w:id="82" w:name="_Toc9972605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sz w:val="28"/>
          <w:szCs w:val="28"/>
        </w:rPr>
        <w:br w:type="page"/>
      </w:r>
      <w:r w:rsidR="00923398">
        <w:rPr>
          <w:sz w:val="28"/>
          <w:szCs w:val="28"/>
        </w:rPr>
        <w:t>Supporting Documentation</w:t>
      </w:r>
      <w:bookmarkEnd w:id="82"/>
    </w:p>
    <w:p w14:paraId="230C21D5" w14:textId="3107F1F6" w:rsidR="00037AA8" w:rsidRPr="00263CF7" w:rsidRDefault="00037AA8" w:rsidP="00E34802">
      <w:pPr>
        <w:spacing w:after="120" w:line="276" w:lineRule="auto"/>
        <w:ind w:left="1440"/>
        <w:rPr>
          <w:sz w:val="24"/>
          <w:szCs w:val="24"/>
        </w:rPr>
      </w:pPr>
      <w:r w:rsidRPr="002E2998">
        <w:rPr>
          <w:sz w:val="24"/>
          <w:szCs w:val="24"/>
        </w:rPr>
        <w:t xml:space="preserve">HHSC requires </w:t>
      </w:r>
      <w:r w:rsidR="00423DE2">
        <w:rPr>
          <w:sz w:val="24"/>
          <w:szCs w:val="24"/>
        </w:rPr>
        <w:t xml:space="preserve">that </w:t>
      </w:r>
      <w:r w:rsidRPr="002E2998">
        <w:rPr>
          <w:sz w:val="24"/>
          <w:szCs w:val="24"/>
        </w:rPr>
        <w:t xml:space="preserve">the following supporting information be included with </w:t>
      </w:r>
      <w:r w:rsidRPr="00263CF7">
        <w:rPr>
          <w:sz w:val="24"/>
          <w:szCs w:val="24"/>
        </w:rPr>
        <w:t>the application at the time of submission:</w:t>
      </w:r>
    </w:p>
    <w:p w14:paraId="237ABFE6" w14:textId="4C62CD5E" w:rsidR="00037AA8" w:rsidRPr="00E34802" w:rsidRDefault="00233CD3" w:rsidP="00233CD3">
      <w:pPr>
        <w:pStyle w:val="BodyText"/>
        <w:spacing w:before="0" w:after="60"/>
        <w:ind w:left="1800"/>
        <w:rPr>
          <w:sz w:val="24"/>
          <w:szCs w:val="24"/>
        </w:rPr>
      </w:pPr>
      <w:r>
        <w:rPr>
          <w:rFonts w:ascii="Symbol" w:hAnsi="Symbol"/>
          <w:sz w:val="24"/>
          <w:szCs w:val="24"/>
          <w:highlight w:val="lightGray"/>
        </w:rPr>
        <w:fldChar w:fldCharType="begin">
          <w:ffData>
            <w:name w:val="Check5"/>
            <w:enabled/>
            <w:calcOnExit w:val="0"/>
            <w:checkBox>
              <w:sizeAuto/>
              <w:default w:val="0"/>
            </w:checkBox>
          </w:ffData>
        </w:fldChar>
      </w:r>
      <w:bookmarkStart w:id="83" w:name="Check5"/>
      <w:r>
        <w:rPr>
          <w:rFonts w:ascii="Symbol" w:hAnsi="Symbol"/>
          <w:sz w:val="24"/>
          <w:szCs w:val="24"/>
          <w:highlight w:val="lightGray"/>
        </w:rPr>
        <w:instrText xml:space="preserve"> FORMCHECKBOX </w:instrText>
      </w:r>
      <w:r w:rsidR="00AD7CFE">
        <w:rPr>
          <w:rFonts w:ascii="Symbol" w:hAnsi="Symbol"/>
          <w:sz w:val="24"/>
          <w:szCs w:val="24"/>
          <w:highlight w:val="lightGray"/>
        </w:rPr>
      </w:r>
      <w:r w:rsidR="00AD7CFE">
        <w:rPr>
          <w:rFonts w:ascii="Symbol" w:hAnsi="Symbol"/>
          <w:sz w:val="24"/>
          <w:szCs w:val="24"/>
          <w:highlight w:val="lightGray"/>
        </w:rPr>
        <w:fldChar w:fldCharType="separate"/>
      </w:r>
      <w:r>
        <w:rPr>
          <w:rFonts w:ascii="Symbol" w:hAnsi="Symbol"/>
          <w:sz w:val="24"/>
          <w:szCs w:val="24"/>
          <w:highlight w:val="lightGray"/>
        </w:rPr>
        <w:fldChar w:fldCharType="end"/>
      </w:r>
      <w:bookmarkEnd w:id="83"/>
      <w:r>
        <w:rPr>
          <w:rFonts w:ascii="Symbol" w:hAnsi="Symbol"/>
          <w:sz w:val="24"/>
          <w:szCs w:val="24"/>
        </w:rPr>
        <w:t xml:space="preserve"> </w:t>
      </w:r>
      <w:r w:rsidR="00037AA8" w:rsidRPr="00E34802">
        <w:rPr>
          <w:sz w:val="24"/>
          <w:szCs w:val="24"/>
        </w:rPr>
        <w:t xml:space="preserve">Most recent audited financial statements for the merged </w:t>
      </w:r>
      <w:r w:rsidR="0063610F" w:rsidRPr="00E34802">
        <w:rPr>
          <w:sz w:val="24"/>
          <w:szCs w:val="24"/>
        </w:rPr>
        <w:t>hospital</w:t>
      </w:r>
    </w:p>
    <w:p w14:paraId="77DB903B" w14:textId="056D7B46" w:rsidR="00037AA8" w:rsidRPr="00E34802" w:rsidRDefault="00233CD3" w:rsidP="00233CD3">
      <w:pPr>
        <w:pStyle w:val="BodyText"/>
        <w:spacing w:before="0" w:after="60"/>
        <w:ind w:left="1800"/>
        <w:rPr>
          <w:sz w:val="24"/>
          <w:szCs w:val="24"/>
        </w:rPr>
      </w:pPr>
      <w:r>
        <w:rPr>
          <w:rFonts w:ascii="Symbol" w:hAnsi="Symbol"/>
          <w:sz w:val="24"/>
          <w:szCs w:val="24"/>
          <w:highlight w:val="lightGray"/>
        </w:rPr>
        <w:fldChar w:fldCharType="begin">
          <w:ffData>
            <w:name w:val="Check6"/>
            <w:enabled/>
            <w:calcOnExit w:val="0"/>
            <w:checkBox>
              <w:sizeAuto/>
              <w:default w:val="0"/>
            </w:checkBox>
          </w:ffData>
        </w:fldChar>
      </w:r>
      <w:bookmarkStart w:id="84" w:name="Check6"/>
      <w:r>
        <w:rPr>
          <w:rFonts w:ascii="Symbol" w:hAnsi="Symbol"/>
          <w:sz w:val="24"/>
          <w:szCs w:val="24"/>
          <w:highlight w:val="lightGray"/>
        </w:rPr>
        <w:instrText xml:space="preserve"> FORMCHECKBOX </w:instrText>
      </w:r>
      <w:r w:rsidR="00AD7CFE">
        <w:rPr>
          <w:rFonts w:ascii="Symbol" w:hAnsi="Symbol"/>
          <w:sz w:val="24"/>
          <w:szCs w:val="24"/>
          <w:highlight w:val="lightGray"/>
        </w:rPr>
      </w:r>
      <w:r w:rsidR="00AD7CFE">
        <w:rPr>
          <w:rFonts w:ascii="Symbol" w:hAnsi="Symbol"/>
          <w:sz w:val="24"/>
          <w:szCs w:val="24"/>
          <w:highlight w:val="lightGray"/>
        </w:rPr>
        <w:fldChar w:fldCharType="separate"/>
      </w:r>
      <w:r>
        <w:rPr>
          <w:rFonts w:ascii="Symbol" w:hAnsi="Symbol"/>
          <w:sz w:val="24"/>
          <w:szCs w:val="24"/>
          <w:highlight w:val="lightGray"/>
        </w:rPr>
        <w:fldChar w:fldCharType="end"/>
      </w:r>
      <w:bookmarkEnd w:id="84"/>
      <w:r>
        <w:rPr>
          <w:rFonts w:ascii="Symbol" w:hAnsi="Symbol"/>
          <w:sz w:val="24"/>
          <w:szCs w:val="24"/>
        </w:rPr>
        <w:t xml:space="preserve"> </w:t>
      </w:r>
      <w:r w:rsidR="00037AA8" w:rsidRPr="00E34802">
        <w:rPr>
          <w:sz w:val="24"/>
          <w:szCs w:val="24"/>
        </w:rPr>
        <w:t xml:space="preserve">Chargemaster for the merged </w:t>
      </w:r>
      <w:r w:rsidR="0063610F" w:rsidRPr="00E34802">
        <w:rPr>
          <w:sz w:val="24"/>
          <w:szCs w:val="24"/>
        </w:rPr>
        <w:t>hospital</w:t>
      </w:r>
    </w:p>
    <w:p w14:paraId="3D391069" w14:textId="541EE407" w:rsidR="00037AA8" w:rsidRPr="00E34802" w:rsidRDefault="00233CD3" w:rsidP="00233CD3">
      <w:pPr>
        <w:pStyle w:val="BodyText"/>
        <w:spacing w:before="0" w:after="60"/>
        <w:ind w:left="1800"/>
        <w:rPr>
          <w:sz w:val="24"/>
          <w:szCs w:val="24"/>
        </w:rPr>
      </w:pPr>
      <w:r>
        <w:rPr>
          <w:rFonts w:ascii="Symbol" w:hAnsi="Symbol"/>
          <w:sz w:val="24"/>
          <w:szCs w:val="24"/>
          <w:highlight w:val="lightGray"/>
        </w:rPr>
        <w:fldChar w:fldCharType="begin">
          <w:ffData>
            <w:name w:val="Check7"/>
            <w:enabled/>
            <w:calcOnExit w:val="0"/>
            <w:checkBox>
              <w:sizeAuto/>
              <w:default w:val="0"/>
            </w:checkBox>
          </w:ffData>
        </w:fldChar>
      </w:r>
      <w:bookmarkStart w:id="85" w:name="Check7"/>
      <w:r>
        <w:rPr>
          <w:rFonts w:ascii="Symbol" w:hAnsi="Symbol"/>
          <w:sz w:val="24"/>
          <w:szCs w:val="24"/>
          <w:highlight w:val="lightGray"/>
        </w:rPr>
        <w:instrText xml:space="preserve"> FORMCHECKBOX </w:instrText>
      </w:r>
      <w:r w:rsidR="00AD7CFE">
        <w:rPr>
          <w:rFonts w:ascii="Symbol" w:hAnsi="Symbol"/>
          <w:sz w:val="24"/>
          <w:szCs w:val="24"/>
          <w:highlight w:val="lightGray"/>
        </w:rPr>
      </w:r>
      <w:r w:rsidR="00AD7CFE">
        <w:rPr>
          <w:rFonts w:ascii="Symbol" w:hAnsi="Symbol"/>
          <w:sz w:val="24"/>
          <w:szCs w:val="24"/>
          <w:highlight w:val="lightGray"/>
        </w:rPr>
        <w:fldChar w:fldCharType="separate"/>
      </w:r>
      <w:r>
        <w:rPr>
          <w:rFonts w:ascii="Symbol" w:hAnsi="Symbol"/>
          <w:sz w:val="24"/>
          <w:szCs w:val="24"/>
          <w:highlight w:val="lightGray"/>
        </w:rPr>
        <w:fldChar w:fldCharType="end"/>
      </w:r>
      <w:bookmarkEnd w:id="85"/>
      <w:r>
        <w:rPr>
          <w:rFonts w:ascii="Symbol" w:hAnsi="Symbol"/>
          <w:sz w:val="24"/>
          <w:szCs w:val="24"/>
        </w:rPr>
        <w:t xml:space="preserve"> </w:t>
      </w:r>
      <w:r w:rsidR="00037AA8" w:rsidRPr="00E34802">
        <w:rPr>
          <w:sz w:val="24"/>
          <w:szCs w:val="24"/>
        </w:rPr>
        <w:t>Separate chargemasters prior to the merger for each hospital included in the merger (</w:t>
      </w:r>
      <w:r w:rsidR="00FA7E82">
        <w:rPr>
          <w:sz w:val="24"/>
          <w:szCs w:val="24"/>
        </w:rPr>
        <w:t>1</w:t>
      </w:r>
      <w:r w:rsidR="00FA7E82" w:rsidRPr="00E34802">
        <w:rPr>
          <w:sz w:val="24"/>
          <w:szCs w:val="24"/>
          <w:vertAlign w:val="superscript"/>
        </w:rPr>
        <w:t>st</w:t>
      </w:r>
      <w:r w:rsidR="00FA7E82">
        <w:rPr>
          <w:sz w:val="24"/>
          <w:szCs w:val="24"/>
        </w:rPr>
        <w:t>-year</w:t>
      </w:r>
      <w:r w:rsidR="00037AA8" w:rsidRPr="00E34802">
        <w:rPr>
          <w:sz w:val="24"/>
          <w:szCs w:val="24"/>
        </w:rPr>
        <w:t xml:space="preserve"> </w:t>
      </w:r>
      <w:r w:rsidR="00D958E3" w:rsidRPr="00E34802">
        <w:rPr>
          <w:sz w:val="24"/>
          <w:szCs w:val="24"/>
        </w:rPr>
        <w:t xml:space="preserve">applicants </w:t>
      </w:r>
      <w:r w:rsidR="00037AA8" w:rsidRPr="00E34802">
        <w:rPr>
          <w:sz w:val="24"/>
          <w:szCs w:val="24"/>
        </w:rPr>
        <w:t>only)</w:t>
      </w:r>
    </w:p>
    <w:p w14:paraId="5137520D" w14:textId="0C07184B" w:rsidR="00037AA8" w:rsidRPr="00E34802" w:rsidRDefault="00233CD3" w:rsidP="00233CD3">
      <w:pPr>
        <w:pStyle w:val="BodyText"/>
        <w:spacing w:before="0" w:after="60"/>
        <w:ind w:left="1800"/>
        <w:rPr>
          <w:sz w:val="24"/>
          <w:szCs w:val="24"/>
        </w:rPr>
      </w:pPr>
      <w:r>
        <w:rPr>
          <w:rFonts w:ascii="Symbol" w:hAnsi="Symbol"/>
          <w:sz w:val="24"/>
          <w:szCs w:val="24"/>
          <w:highlight w:val="lightGray"/>
        </w:rPr>
        <w:fldChar w:fldCharType="begin">
          <w:ffData>
            <w:name w:val="Check8"/>
            <w:enabled/>
            <w:calcOnExit w:val="0"/>
            <w:checkBox>
              <w:sizeAuto/>
              <w:default w:val="0"/>
            </w:checkBox>
          </w:ffData>
        </w:fldChar>
      </w:r>
      <w:bookmarkStart w:id="86" w:name="Check8"/>
      <w:r>
        <w:rPr>
          <w:rFonts w:ascii="Symbol" w:hAnsi="Symbol"/>
          <w:sz w:val="24"/>
          <w:szCs w:val="24"/>
          <w:highlight w:val="lightGray"/>
        </w:rPr>
        <w:instrText xml:space="preserve"> FORMCHECKBOX </w:instrText>
      </w:r>
      <w:r w:rsidR="00AD7CFE">
        <w:rPr>
          <w:rFonts w:ascii="Symbol" w:hAnsi="Symbol"/>
          <w:sz w:val="24"/>
          <w:szCs w:val="24"/>
          <w:highlight w:val="lightGray"/>
        </w:rPr>
      </w:r>
      <w:r w:rsidR="00AD7CFE">
        <w:rPr>
          <w:rFonts w:ascii="Symbol" w:hAnsi="Symbol"/>
          <w:sz w:val="24"/>
          <w:szCs w:val="24"/>
          <w:highlight w:val="lightGray"/>
        </w:rPr>
        <w:fldChar w:fldCharType="separate"/>
      </w:r>
      <w:r>
        <w:rPr>
          <w:rFonts w:ascii="Symbol" w:hAnsi="Symbol"/>
          <w:sz w:val="24"/>
          <w:szCs w:val="24"/>
          <w:highlight w:val="lightGray"/>
        </w:rPr>
        <w:fldChar w:fldCharType="end"/>
      </w:r>
      <w:bookmarkEnd w:id="86"/>
      <w:r>
        <w:rPr>
          <w:rFonts w:ascii="Symbol" w:hAnsi="Symbol"/>
          <w:sz w:val="24"/>
          <w:szCs w:val="24"/>
        </w:rPr>
        <w:t xml:space="preserve"> </w:t>
      </w:r>
      <w:r w:rsidR="0061458D" w:rsidRPr="00E34802">
        <w:rPr>
          <w:sz w:val="24"/>
          <w:szCs w:val="24"/>
        </w:rPr>
        <w:t xml:space="preserve">List of </w:t>
      </w:r>
      <w:r w:rsidR="00D958E3" w:rsidRPr="00E34802">
        <w:rPr>
          <w:sz w:val="24"/>
          <w:szCs w:val="24"/>
        </w:rPr>
        <w:t>t</w:t>
      </w:r>
      <w:r w:rsidR="00037AA8" w:rsidRPr="00E34802">
        <w:rPr>
          <w:sz w:val="24"/>
          <w:szCs w:val="24"/>
        </w:rPr>
        <w:t>hird party contractors reimbursed based on charges</w:t>
      </w:r>
    </w:p>
    <w:p w14:paraId="658B2075" w14:textId="71F7C056" w:rsidR="00377587" w:rsidRPr="00E34802" w:rsidRDefault="00233CD3" w:rsidP="00377587">
      <w:pPr>
        <w:pStyle w:val="BodyText"/>
        <w:spacing w:before="0" w:after="0"/>
        <w:ind w:left="1800"/>
        <w:rPr>
          <w:sz w:val="24"/>
          <w:szCs w:val="24"/>
        </w:rPr>
      </w:pPr>
      <w:r>
        <w:rPr>
          <w:rFonts w:ascii="Symbol" w:hAnsi="Symbol"/>
          <w:sz w:val="24"/>
          <w:szCs w:val="24"/>
          <w:highlight w:val="lightGray"/>
        </w:rPr>
        <w:fldChar w:fldCharType="begin">
          <w:ffData>
            <w:name w:val="Check9"/>
            <w:enabled/>
            <w:calcOnExit w:val="0"/>
            <w:checkBox>
              <w:sizeAuto/>
              <w:default w:val="0"/>
            </w:checkBox>
          </w:ffData>
        </w:fldChar>
      </w:r>
      <w:bookmarkStart w:id="87" w:name="Check9"/>
      <w:r>
        <w:rPr>
          <w:rFonts w:ascii="Symbol" w:hAnsi="Symbol"/>
          <w:sz w:val="24"/>
          <w:szCs w:val="24"/>
          <w:highlight w:val="lightGray"/>
        </w:rPr>
        <w:instrText xml:space="preserve"> FORMCHECKBOX </w:instrText>
      </w:r>
      <w:r w:rsidR="00AD7CFE">
        <w:rPr>
          <w:rFonts w:ascii="Symbol" w:hAnsi="Symbol"/>
          <w:sz w:val="24"/>
          <w:szCs w:val="24"/>
          <w:highlight w:val="lightGray"/>
        </w:rPr>
      </w:r>
      <w:r w:rsidR="00AD7CFE">
        <w:rPr>
          <w:rFonts w:ascii="Symbol" w:hAnsi="Symbol"/>
          <w:sz w:val="24"/>
          <w:szCs w:val="24"/>
          <w:highlight w:val="lightGray"/>
        </w:rPr>
        <w:fldChar w:fldCharType="separate"/>
      </w:r>
      <w:r>
        <w:rPr>
          <w:rFonts w:ascii="Symbol" w:hAnsi="Symbol"/>
          <w:sz w:val="24"/>
          <w:szCs w:val="24"/>
          <w:highlight w:val="lightGray"/>
        </w:rPr>
        <w:fldChar w:fldCharType="end"/>
      </w:r>
      <w:bookmarkEnd w:id="87"/>
      <w:r>
        <w:rPr>
          <w:rFonts w:ascii="Symbol" w:hAnsi="Symbol"/>
          <w:sz w:val="24"/>
          <w:szCs w:val="24"/>
        </w:rPr>
        <w:t xml:space="preserve"> </w:t>
      </w:r>
      <w:r w:rsidR="00D958E3" w:rsidRPr="00E34802">
        <w:rPr>
          <w:sz w:val="24"/>
          <w:szCs w:val="24"/>
        </w:rPr>
        <w:t xml:space="preserve">List of </w:t>
      </w:r>
      <w:r w:rsidR="00037AA8" w:rsidRPr="00E34802">
        <w:rPr>
          <w:sz w:val="24"/>
          <w:szCs w:val="24"/>
        </w:rPr>
        <w:t>discounts</w:t>
      </w:r>
      <w:r w:rsidR="00D958E3" w:rsidRPr="00E34802">
        <w:rPr>
          <w:sz w:val="24"/>
          <w:szCs w:val="24"/>
        </w:rPr>
        <w:t xml:space="preserve"> provided to uninsured or underinsured patients</w:t>
      </w:r>
    </w:p>
    <w:p w14:paraId="5BB2571A" w14:textId="67F9C3F4" w:rsidR="002E2998" w:rsidRPr="00512F72" w:rsidRDefault="00037AA8" w:rsidP="00D25525">
      <w:pPr>
        <w:pStyle w:val="Heading4"/>
        <w:numPr>
          <w:ilvl w:val="0"/>
          <w:numId w:val="13"/>
        </w:numPr>
        <w:ind w:left="1440" w:hanging="1080"/>
        <w:rPr>
          <w:sz w:val="28"/>
          <w:szCs w:val="28"/>
        </w:rPr>
      </w:pPr>
      <w:bookmarkStart w:id="88" w:name="_Toc99705448"/>
      <w:bookmarkStart w:id="89" w:name="_Toc99705488"/>
      <w:bookmarkStart w:id="90" w:name="_Toc99705743"/>
      <w:bookmarkStart w:id="91" w:name="_Toc99725608"/>
      <w:bookmarkStart w:id="92" w:name="_Toc99726056"/>
      <w:bookmarkStart w:id="93" w:name="_Toc99726057"/>
      <w:bookmarkStart w:id="94" w:name="_Hlk99705293"/>
      <w:bookmarkEnd w:id="88"/>
      <w:bookmarkEnd w:id="89"/>
      <w:bookmarkEnd w:id="90"/>
      <w:bookmarkEnd w:id="91"/>
      <w:bookmarkEnd w:id="92"/>
      <w:r w:rsidRPr="00512F72">
        <w:rPr>
          <w:sz w:val="28"/>
          <w:szCs w:val="28"/>
        </w:rPr>
        <w:t>Required Certification</w:t>
      </w:r>
      <w:bookmarkEnd w:id="93"/>
    </w:p>
    <w:p w14:paraId="40BBC41B" w14:textId="540DDCA5" w:rsidR="00D958E3" w:rsidRPr="00E34802" w:rsidRDefault="00D958E3" w:rsidP="00E34802">
      <w:pPr>
        <w:pStyle w:val="CommentText"/>
        <w:spacing w:after="240" w:line="276" w:lineRule="auto"/>
        <w:ind w:left="1440"/>
        <w:rPr>
          <w:sz w:val="24"/>
          <w:szCs w:val="24"/>
        </w:rPr>
      </w:pPr>
      <w:r w:rsidRPr="00E34802">
        <w:rPr>
          <w:sz w:val="24"/>
          <w:szCs w:val="24"/>
        </w:rPr>
        <w:t xml:space="preserve">I attest as follows: </w:t>
      </w:r>
    </w:p>
    <w:p w14:paraId="7E5F2568" w14:textId="4ACC8FD7" w:rsidR="00D958E3" w:rsidRPr="00E34802" w:rsidRDefault="00D958E3" w:rsidP="00E34802">
      <w:pPr>
        <w:pStyle w:val="CommentText"/>
        <w:spacing w:after="240" w:line="276" w:lineRule="auto"/>
        <w:ind w:left="1440"/>
        <w:rPr>
          <w:sz w:val="24"/>
          <w:szCs w:val="24"/>
        </w:rPr>
      </w:pPr>
      <w:r w:rsidRPr="00E34802">
        <w:rPr>
          <w:sz w:val="24"/>
          <w:szCs w:val="24"/>
        </w:rPr>
        <w:t xml:space="preserve">I have the authority to submit this </w:t>
      </w:r>
      <w:r w:rsidR="00EF7823">
        <w:rPr>
          <w:sz w:val="24"/>
          <w:szCs w:val="24"/>
        </w:rPr>
        <w:t xml:space="preserve">inpatient and outpatient hospital services </w:t>
      </w:r>
      <w:r w:rsidR="00335EB8">
        <w:rPr>
          <w:sz w:val="24"/>
          <w:szCs w:val="24"/>
        </w:rPr>
        <w:t xml:space="preserve">rate change </w:t>
      </w:r>
      <w:r w:rsidRPr="00E34802">
        <w:rPr>
          <w:sz w:val="24"/>
          <w:szCs w:val="24"/>
        </w:rPr>
        <w:t xml:space="preserve">application on behalf of </w:t>
      </w:r>
      <w:r w:rsidR="004E167A" w:rsidRPr="004E167A">
        <w:rPr>
          <w:i/>
          <w:iCs/>
          <w:sz w:val="24"/>
          <w:szCs w:val="24"/>
          <w:u w:val="single"/>
        </w:rPr>
        <w:fldChar w:fldCharType="begin">
          <w:ffData>
            <w:name w:val="Text6"/>
            <w:enabled/>
            <w:calcOnExit w:val="0"/>
            <w:textInput>
              <w:default w:val="  Enter Applicant Hospital Name  "/>
            </w:textInput>
          </w:ffData>
        </w:fldChar>
      </w:r>
      <w:bookmarkStart w:id="95" w:name="Text6"/>
      <w:r w:rsidR="004E167A" w:rsidRPr="004E167A">
        <w:rPr>
          <w:i/>
          <w:iCs/>
          <w:sz w:val="24"/>
          <w:szCs w:val="24"/>
          <w:u w:val="single"/>
        </w:rPr>
        <w:instrText xml:space="preserve"> FORMTEXT </w:instrText>
      </w:r>
      <w:r w:rsidR="004E167A" w:rsidRPr="004E167A">
        <w:rPr>
          <w:i/>
          <w:iCs/>
          <w:sz w:val="24"/>
          <w:szCs w:val="24"/>
          <w:u w:val="single"/>
        </w:rPr>
      </w:r>
      <w:r w:rsidR="004E167A" w:rsidRPr="004E167A">
        <w:rPr>
          <w:i/>
          <w:iCs/>
          <w:sz w:val="24"/>
          <w:szCs w:val="24"/>
          <w:u w:val="single"/>
        </w:rPr>
        <w:fldChar w:fldCharType="separate"/>
      </w:r>
      <w:r w:rsidR="004E167A" w:rsidRPr="004E167A">
        <w:rPr>
          <w:i/>
          <w:iCs/>
          <w:noProof/>
          <w:sz w:val="24"/>
          <w:szCs w:val="24"/>
          <w:u w:val="single"/>
        </w:rPr>
        <w:t xml:space="preserve">  Enter Applicant Hospital Name  </w:t>
      </w:r>
      <w:r w:rsidR="004E167A" w:rsidRPr="004E167A">
        <w:rPr>
          <w:i/>
          <w:iCs/>
          <w:sz w:val="24"/>
          <w:szCs w:val="24"/>
          <w:u w:val="single"/>
        </w:rPr>
        <w:fldChar w:fldCharType="end"/>
      </w:r>
      <w:bookmarkEnd w:id="95"/>
      <w:r w:rsidR="00233CD3">
        <w:rPr>
          <w:sz w:val="24"/>
          <w:szCs w:val="24"/>
        </w:rPr>
        <w:t>.</w:t>
      </w:r>
    </w:p>
    <w:p w14:paraId="232B12AD" w14:textId="01DBB889" w:rsidR="00D958E3" w:rsidRPr="004E167A" w:rsidRDefault="00D958E3" w:rsidP="00E34802">
      <w:pPr>
        <w:pStyle w:val="CommentText"/>
        <w:spacing w:after="240" w:line="276" w:lineRule="auto"/>
        <w:ind w:left="1440"/>
        <w:rPr>
          <w:i/>
          <w:iCs/>
          <w:sz w:val="24"/>
          <w:szCs w:val="24"/>
        </w:rPr>
      </w:pPr>
      <w:r w:rsidRPr="00E34802">
        <w:rPr>
          <w:sz w:val="24"/>
          <w:szCs w:val="24"/>
        </w:rPr>
        <w:t xml:space="preserve">All information provided in this application and </w:t>
      </w:r>
      <w:r w:rsidR="00FA7E82">
        <w:rPr>
          <w:sz w:val="24"/>
          <w:szCs w:val="24"/>
        </w:rPr>
        <w:t xml:space="preserve">the </w:t>
      </w:r>
      <w:r w:rsidRPr="00E34802">
        <w:rPr>
          <w:sz w:val="24"/>
          <w:szCs w:val="24"/>
        </w:rPr>
        <w:t>attached documents is an accurate and complete representation of the facts and circumstances.</w:t>
      </w:r>
    </w:p>
    <w:p w14:paraId="1B2F4494" w14:textId="167627C5" w:rsidR="00F80729" w:rsidRDefault="00A009CE" w:rsidP="00FF77C1">
      <w:pPr>
        <w:pStyle w:val="CommentText"/>
        <w:spacing w:before="960"/>
        <w:ind w:left="720" w:firstLine="720"/>
        <w:rPr>
          <w:sz w:val="24"/>
          <w:szCs w:val="24"/>
          <w:u w:val="single"/>
        </w:rPr>
      </w:pPr>
      <w:r>
        <w:rPr>
          <w:sz w:val="24"/>
          <w:szCs w:val="24"/>
        </w:rPr>
        <w:t>_______________________</w:t>
      </w:r>
      <w:r w:rsidR="00EF0AA5">
        <w:rPr>
          <w:sz w:val="24"/>
          <w:szCs w:val="24"/>
        </w:rPr>
        <w:tab/>
      </w:r>
      <w:r w:rsidR="00EF0AA5">
        <w:rPr>
          <w:sz w:val="24"/>
          <w:szCs w:val="24"/>
        </w:rPr>
        <w:tab/>
      </w:r>
      <w:r>
        <w:rPr>
          <w:sz w:val="24"/>
          <w:szCs w:val="24"/>
          <w:u w:val="single"/>
        </w:rPr>
        <w:fldChar w:fldCharType="begin">
          <w:ffData>
            <w:name w:val="Text8"/>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ab/>
      </w:r>
      <w:r>
        <w:rPr>
          <w:noProof/>
          <w:sz w:val="24"/>
          <w:szCs w:val="24"/>
          <w:u w:val="single"/>
        </w:rPr>
        <w:tab/>
      </w:r>
      <w:r>
        <w:rPr>
          <w:noProof/>
          <w:sz w:val="24"/>
          <w:szCs w:val="24"/>
          <w:u w:val="single"/>
        </w:rPr>
        <w:t> </w:t>
      </w:r>
      <w:r>
        <w:rPr>
          <w:sz w:val="24"/>
          <w:szCs w:val="24"/>
          <w:u w:val="single"/>
        </w:rPr>
        <w:fldChar w:fldCharType="end"/>
      </w:r>
    </w:p>
    <w:p w14:paraId="734B3351" w14:textId="0FA0B79F" w:rsidR="00D958E3" w:rsidRPr="00E34802" w:rsidRDefault="00D958E3" w:rsidP="00D25525">
      <w:pPr>
        <w:pStyle w:val="CommentText"/>
        <w:ind w:left="1440"/>
        <w:rPr>
          <w:sz w:val="24"/>
          <w:szCs w:val="24"/>
        </w:rPr>
      </w:pPr>
      <w:r w:rsidRPr="00E34802">
        <w:rPr>
          <w:sz w:val="24"/>
          <w:szCs w:val="24"/>
        </w:rPr>
        <w:t>Signature</w:t>
      </w:r>
      <w:r w:rsidRPr="00E34802">
        <w:rPr>
          <w:sz w:val="24"/>
          <w:szCs w:val="24"/>
        </w:rPr>
        <w:tab/>
      </w:r>
      <w:r w:rsidRPr="00E34802">
        <w:rPr>
          <w:sz w:val="24"/>
          <w:szCs w:val="24"/>
        </w:rPr>
        <w:tab/>
      </w:r>
      <w:r w:rsidRPr="00E34802">
        <w:rPr>
          <w:sz w:val="24"/>
          <w:szCs w:val="24"/>
        </w:rPr>
        <w:tab/>
      </w:r>
      <w:r w:rsidRPr="00E34802">
        <w:rPr>
          <w:sz w:val="24"/>
          <w:szCs w:val="24"/>
        </w:rPr>
        <w:tab/>
      </w:r>
      <w:r w:rsidR="00786F01">
        <w:rPr>
          <w:sz w:val="24"/>
          <w:szCs w:val="24"/>
        </w:rPr>
        <w:tab/>
      </w:r>
      <w:r w:rsidRPr="00E34802">
        <w:rPr>
          <w:sz w:val="24"/>
          <w:szCs w:val="24"/>
        </w:rPr>
        <w:t>Date</w:t>
      </w:r>
    </w:p>
    <w:bookmarkEnd w:id="94"/>
    <w:p w14:paraId="482EE1E2" w14:textId="5A221473" w:rsidR="00F80729" w:rsidRDefault="00F80729" w:rsidP="00FF77C1">
      <w:pPr>
        <w:pStyle w:val="CommentText"/>
        <w:spacing w:before="360"/>
        <w:ind w:left="1440"/>
        <w:rPr>
          <w:sz w:val="24"/>
          <w:szCs w:val="24"/>
          <w:u w:val="single"/>
        </w:rPr>
      </w:pPr>
      <w:r>
        <w:rPr>
          <w:sz w:val="24"/>
          <w:szCs w:val="24"/>
          <w:u w:val="single"/>
        </w:rPr>
        <w:fldChar w:fldCharType="begin">
          <w:ffData>
            <w:name w:val="Text8"/>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14:paraId="64436942" w14:textId="5E0A320C" w:rsidR="00F0408B" w:rsidRPr="00E34802" w:rsidRDefault="00D958E3">
      <w:pPr>
        <w:pStyle w:val="CommentText"/>
        <w:ind w:left="1440"/>
        <w:rPr>
          <w:sz w:val="24"/>
          <w:szCs w:val="24"/>
        </w:rPr>
      </w:pPr>
      <w:r w:rsidRPr="00E34802">
        <w:rPr>
          <w:sz w:val="24"/>
          <w:szCs w:val="24"/>
        </w:rPr>
        <w:t>Printed Name</w:t>
      </w:r>
    </w:p>
    <w:p w14:paraId="2B1C545F" w14:textId="77777777" w:rsidR="00377587" w:rsidRDefault="00171363">
      <w:pPr>
        <w:sectPr w:rsidR="00377587" w:rsidSect="00E55331">
          <w:footerReference w:type="default" r:id="rId12"/>
          <w:footerReference w:type="first" r:id="rId13"/>
          <w:footnotePr>
            <w:numFmt w:val="lowerLetter"/>
          </w:footnotePr>
          <w:pgSz w:w="12240" w:h="15840"/>
          <w:pgMar w:top="1440" w:right="1440" w:bottom="1440" w:left="1440" w:header="720" w:footer="720" w:gutter="0"/>
          <w:pgNumType w:start="1"/>
          <w:cols w:space="720"/>
          <w:titlePg/>
          <w:docGrid w:linePitch="360"/>
        </w:sectPr>
      </w:pPr>
      <w:r>
        <w:br w:type="page"/>
      </w:r>
    </w:p>
    <w:p w14:paraId="41D0F6C7" w14:textId="500E89ED" w:rsidR="00FC3734" w:rsidRPr="00BB40EF" w:rsidRDefault="00FC3734" w:rsidP="00767089">
      <w:pPr>
        <w:pStyle w:val="Heading3"/>
      </w:pPr>
      <w:r w:rsidRPr="00BB40EF">
        <w:t>Appendix A - Definitions</w:t>
      </w:r>
    </w:p>
    <w:tbl>
      <w:tblPr>
        <w:tblStyle w:val="GridTable1Light"/>
        <w:tblW w:w="0" w:type="auto"/>
        <w:tblInd w:w="-545" w:type="dxa"/>
        <w:tblLayout w:type="fixed"/>
        <w:tblLook w:val="04A0" w:firstRow="1" w:lastRow="0" w:firstColumn="1" w:lastColumn="0" w:noHBand="0" w:noVBand="1"/>
      </w:tblPr>
      <w:tblGrid>
        <w:gridCol w:w="4937"/>
        <w:gridCol w:w="3197"/>
        <w:gridCol w:w="6093"/>
      </w:tblGrid>
      <w:tr w:rsidR="00FC3734" w:rsidRPr="00D10E9D" w14:paraId="5310AD96" w14:textId="77777777" w:rsidTr="00377587">
        <w:trPr>
          <w:cnfStyle w:val="100000000000" w:firstRow="1" w:lastRow="0" w:firstColumn="0" w:lastColumn="0" w:oddVBand="0" w:evenVBand="0" w:oddHBand="0" w:evenHBand="0" w:firstRowFirstColumn="0" w:firstRowLastColumn="0" w:lastRowFirstColumn="0" w:lastRowLastColumn="0"/>
          <w:cantSplit/>
          <w:trHeight w:val="258"/>
          <w:tblHeader/>
        </w:trPr>
        <w:tc>
          <w:tcPr>
            <w:cnfStyle w:val="001000000000" w:firstRow="0" w:lastRow="0" w:firstColumn="1" w:lastColumn="0" w:oddVBand="0" w:evenVBand="0" w:oddHBand="0" w:evenHBand="0" w:firstRowFirstColumn="0" w:firstRowLastColumn="0" w:lastRowFirstColumn="0" w:lastRowLastColumn="0"/>
            <w:tcW w:w="4937" w:type="dxa"/>
            <w:vAlign w:val="center"/>
            <w:hideMark/>
          </w:tcPr>
          <w:p w14:paraId="3ADB8CE3" w14:textId="77777777" w:rsidR="00FC3734" w:rsidRPr="00A95068" w:rsidRDefault="00FC3734" w:rsidP="00E34802">
            <w:pPr>
              <w:spacing w:before="120" w:after="120" w:line="276" w:lineRule="auto"/>
              <w:rPr>
                <w:rFonts w:ascii="Verdana" w:eastAsia="Times New Roman" w:hAnsi="Verdana" w:cs="Calibri"/>
                <w:color w:val="000000"/>
              </w:rPr>
            </w:pPr>
            <w:r w:rsidRPr="301927C4">
              <w:rPr>
                <w:rFonts w:ascii="Verdana" w:eastAsia="Times New Roman" w:hAnsi="Verdana" w:cs="Calibri"/>
                <w:color w:val="000000" w:themeColor="text2"/>
              </w:rPr>
              <w:t>Term</w:t>
            </w:r>
          </w:p>
        </w:tc>
        <w:tc>
          <w:tcPr>
            <w:tcW w:w="3197" w:type="dxa"/>
            <w:noWrap/>
            <w:vAlign w:val="center"/>
            <w:hideMark/>
          </w:tcPr>
          <w:p w14:paraId="13B8C027" w14:textId="77777777" w:rsidR="00FC3734" w:rsidRPr="00A95068" w:rsidRDefault="00FC3734" w:rsidP="00E3480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Acronym</w:t>
            </w:r>
          </w:p>
        </w:tc>
        <w:tc>
          <w:tcPr>
            <w:tcW w:w="6093" w:type="dxa"/>
            <w:vAlign w:val="center"/>
            <w:hideMark/>
          </w:tcPr>
          <w:p w14:paraId="31B049EC" w14:textId="77777777" w:rsidR="00FC3734" w:rsidRPr="00437866" w:rsidRDefault="00FC3734" w:rsidP="00E3480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Definition</w:t>
            </w:r>
          </w:p>
        </w:tc>
      </w:tr>
      <w:tr w:rsidR="00C4502F" w:rsidRPr="00D10E9D" w14:paraId="55D5C3B5" w14:textId="77777777" w:rsidTr="00E34802">
        <w:trPr>
          <w:cantSplit/>
          <w:trHeight w:val="258"/>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41E03EF1" w14:textId="335C7E0E"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Active Supervision</w:t>
            </w:r>
          </w:p>
        </w:tc>
        <w:tc>
          <w:tcPr>
            <w:tcW w:w="3197" w:type="dxa"/>
            <w:noWrap/>
            <w:vAlign w:val="center"/>
          </w:tcPr>
          <w:p w14:paraId="52DB6929" w14:textId="77777777" w:rsidR="00C4502F" w:rsidRPr="007C3DD8"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7D5C37CE" w14:textId="79BE2225" w:rsidR="00C4502F" w:rsidRPr="007C3DD8"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To properly immunize the applicant from anti-trust challenges, HHSC must actively supervise the parties to a COPA. In addition to periodic reporting requirements, the applicant can expect a variety of questions and requests for additional information from HHSC as it seeks to understand performance relative to obligations under the COPA.</w:t>
            </w:r>
          </w:p>
        </w:tc>
      </w:tr>
      <w:tr w:rsidR="00C4502F" w:rsidRPr="00D10E9D" w14:paraId="104E081B" w14:textId="77777777" w:rsidTr="00E34802">
        <w:trPr>
          <w:cantSplit/>
          <w:trHeight w:val="258"/>
        </w:trPr>
        <w:tc>
          <w:tcPr>
            <w:cnfStyle w:val="001000000000" w:firstRow="0" w:lastRow="0" w:firstColumn="1" w:lastColumn="0" w:oddVBand="0" w:evenVBand="0" w:oddHBand="0" w:evenHBand="0" w:firstRowFirstColumn="0" w:firstRowLastColumn="0" w:lastRowFirstColumn="0" w:lastRowLastColumn="0"/>
            <w:tcW w:w="4937" w:type="dxa"/>
            <w:tcBorders>
              <w:bottom w:val="single" w:sz="4" w:space="0" w:color="608FFC" w:themeColor="text1" w:themeTint="66"/>
            </w:tcBorders>
            <w:vAlign w:val="center"/>
          </w:tcPr>
          <w:p w14:paraId="04C1E9EC" w14:textId="2EBB4F3D"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Audited Financial Statement</w:t>
            </w:r>
          </w:p>
        </w:tc>
        <w:tc>
          <w:tcPr>
            <w:tcW w:w="3197" w:type="dxa"/>
            <w:tcBorders>
              <w:bottom w:val="single" w:sz="4" w:space="0" w:color="608FFC" w:themeColor="text1" w:themeTint="66"/>
            </w:tcBorders>
            <w:noWrap/>
            <w:vAlign w:val="center"/>
          </w:tcPr>
          <w:p w14:paraId="1E37BD2E" w14:textId="77777777" w:rsidR="00C4502F" w:rsidRPr="007C3DD8"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tcBorders>
              <w:bottom w:val="single" w:sz="4" w:space="0" w:color="608FFC" w:themeColor="text1" w:themeTint="66"/>
            </w:tcBorders>
            <w:vAlign w:val="center"/>
          </w:tcPr>
          <w:p w14:paraId="5CD91D83" w14:textId="14B9F577" w:rsidR="00C4502F" w:rsidRPr="007C3DD8"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A report required of each hospital operating under a Certificate of Public Advantage</w:t>
            </w:r>
            <w:r w:rsidR="00ED6B25">
              <w:rPr>
                <w:rFonts w:ascii="Verdana" w:eastAsia="Times New Roman" w:hAnsi="Verdana" w:cs="Calibri"/>
                <w:color w:val="000000" w:themeColor="text2"/>
              </w:rPr>
              <w:t>,</w:t>
            </w:r>
            <w:r w:rsidRPr="301927C4">
              <w:rPr>
                <w:rFonts w:ascii="Verdana" w:eastAsia="Times New Roman" w:hAnsi="Verdana" w:cs="Calibri"/>
                <w:color w:val="000000" w:themeColor="text2"/>
              </w:rPr>
              <w:t xml:space="preserve"> including both information specified in the Statute at </w:t>
            </w:r>
            <w:r w:rsidR="00E34802">
              <w:rPr>
                <w:rFonts w:ascii="Verdana" w:eastAsia="Times New Roman" w:hAnsi="Verdana" w:cs="Calibri"/>
                <w:color w:val="000000" w:themeColor="text2"/>
              </w:rPr>
              <w:t xml:space="preserve">Section </w:t>
            </w:r>
            <w:r w:rsidRPr="301927C4">
              <w:rPr>
                <w:rFonts w:ascii="Verdana" w:eastAsia="Times New Roman" w:hAnsi="Verdana" w:cs="Calibri"/>
                <w:color w:val="000000" w:themeColor="text2"/>
              </w:rPr>
              <w:t>314A.103 and reporting requirements included in the Terms and Conditions.</w:t>
            </w:r>
          </w:p>
        </w:tc>
      </w:tr>
      <w:tr w:rsidR="00C4502F" w:rsidRPr="00D10E9D" w14:paraId="2B299E8F" w14:textId="77777777" w:rsidTr="00E34802">
        <w:trPr>
          <w:cantSplit/>
          <w:trHeight w:val="775"/>
        </w:trPr>
        <w:tc>
          <w:tcPr>
            <w:cnfStyle w:val="001000000000" w:firstRow="0" w:lastRow="0" w:firstColumn="1" w:lastColumn="0" w:oddVBand="0" w:evenVBand="0" w:oddHBand="0" w:evenHBand="0" w:firstRowFirstColumn="0" w:firstRowLastColumn="0" w:lastRowFirstColumn="0" w:lastRowLastColumn="0"/>
            <w:tcW w:w="4937" w:type="dxa"/>
            <w:tcBorders>
              <w:top w:val="single" w:sz="4" w:space="0" w:color="608FFC" w:themeColor="text1" w:themeTint="66"/>
            </w:tcBorders>
            <w:vAlign w:val="center"/>
            <w:hideMark/>
          </w:tcPr>
          <w:p w14:paraId="1C999B4C" w14:textId="74463827"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Applicant</w:t>
            </w:r>
          </w:p>
        </w:tc>
        <w:tc>
          <w:tcPr>
            <w:tcW w:w="3197" w:type="dxa"/>
            <w:tcBorders>
              <w:top w:val="single" w:sz="4" w:space="0" w:color="608FFC" w:themeColor="text1" w:themeTint="66"/>
            </w:tcBorders>
            <w:noWrap/>
            <w:vAlign w:val="center"/>
            <w:hideMark/>
          </w:tcPr>
          <w:p w14:paraId="4BE781E2" w14:textId="77777777" w:rsidR="00C4502F" w:rsidRPr="00437866"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tcBorders>
              <w:top w:val="single" w:sz="4" w:space="0" w:color="608FFC" w:themeColor="text1" w:themeTint="66"/>
            </w:tcBorders>
            <w:vAlign w:val="center"/>
            <w:hideMark/>
          </w:tcPr>
          <w:p w14:paraId="0D2DA542" w14:textId="54908B19" w:rsidR="00C4502F" w:rsidRPr="00871E7E" w:rsidRDefault="00D71EC4" w:rsidP="007D284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Pr>
                <w:rFonts w:ascii="Verdana" w:eastAsia="Times New Roman" w:hAnsi="Verdana" w:cs="Calibri"/>
                <w:color w:val="000000"/>
              </w:rPr>
              <w:t>For purposes of the COPA, t</w:t>
            </w:r>
            <w:r w:rsidRPr="00D26699">
              <w:rPr>
                <w:rFonts w:ascii="Verdana" w:eastAsia="Times New Roman" w:hAnsi="Verdana" w:cs="Calibri"/>
                <w:color w:val="000000"/>
              </w:rPr>
              <w:t>he</w:t>
            </w:r>
            <w:r w:rsidR="00C4502F" w:rsidRPr="00EF7823">
              <w:rPr>
                <w:rFonts w:ascii="Verdana" w:hAnsi="Verdana"/>
                <w:color w:val="000000"/>
              </w:rPr>
              <w:t xml:space="preserve"> hospital, including any parent organization or other entity overseeing the hospital, making application for a Certificate of Public </w:t>
            </w:r>
            <w:proofErr w:type="gramStart"/>
            <w:r w:rsidR="00C4502F" w:rsidRPr="00EF7823">
              <w:rPr>
                <w:rFonts w:ascii="Verdana" w:hAnsi="Verdana"/>
                <w:color w:val="000000"/>
              </w:rPr>
              <w:t>Advantage</w:t>
            </w:r>
            <w:proofErr w:type="gramEnd"/>
            <w:r>
              <w:rPr>
                <w:rFonts w:ascii="Verdana" w:eastAsia="Times New Roman" w:hAnsi="Verdana" w:cs="Calibri"/>
                <w:color w:val="000000"/>
              </w:rPr>
              <w:t xml:space="preserve"> or applying for a rate change under the Certificate of Public Advantage.</w:t>
            </w:r>
          </w:p>
        </w:tc>
      </w:tr>
      <w:tr w:rsidR="00C4502F" w:rsidRPr="00D10E9D" w14:paraId="4AED0923" w14:textId="77777777" w:rsidTr="00E34802">
        <w:trPr>
          <w:cantSplit/>
          <w:trHeight w:val="775"/>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76B495A9" w14:textId="19396DBC"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Benefits</w:t>
            </w:r>
          </w:p>
        </w:tc>
        <w:tc>
          <w:tcPr>
            <w:tcW w:w="3197" w:type="dxa"/>
            <w:noWrap/>
            <w:vAlign w:val="center"/>
          </w:tcPr>
          <w:p w14:paraId="08DE59B4" w14:textId="77777777" w:rsidR="00C4502F" w:rsidRPr="006E3EA5"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73B391CB" w14:textId="51595435" w:rsidR="00C4502F"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 xml:space="preserve">Benefits </w:t>
            </w:r>
            <w:r w:rsidR="00682CA0">
              <w:rPr>
                <w:rFonts w:ascii="Verdana" w:eastAsia="Times New Roman" w:hAnsi="Verdana" w:cs="Calibri"/>
                <w:color w:val="000000" w:themeColor="text2"/>
              </w:rPr>
              <w:t>are</w:t>
            </w:r>
            <w:r w:rsidR="00682CA0" w:rsidRPr="301927C4">
              <w:rPr>
                <w:rFonts w:ascii="Verdana" w:eastAsia="Times New Roman" w:hAnsi="Verdana" w:cs="Calibri"/>
                <w:color w:val="000000" w:themeColor="text2"/>
              </w:rPr>
              <w:t xml:space="preserve"> </w:t>
            </w:r>
            <w:r w:rsidRPr="301927C4">
              <w:rPr>
                <w:rFonts w:ascii="Verdana" w:eastAsia="Times New Roman" w:hAnsi="Verdana" w:cs="Calibri"/>
                <w:color w:val="000000" w:themeColor="text2"/>
              </w:rPr>
              <w:t>used in the statute with different meaning</w:t>
            </w:r>
            <w:r w:rsidR="00ED6B25">
              <w:rPr>
                <w:rFonts w:ascii="Verdana" w:eastAsia="Times New Roman" w:hAnsi="Verdana" w:cs="Calibri"/>
                <w:color w:val="000000" w:themeColor="text2"/>
              </w:rPr>
              <w:t>s</w:t>
            </w:r>
            <w:r w:rsidRPr="301927C4">
              <w:rPr>
                <w:rFonts w:ascii="Verdana" w:eastAsia="Times New Roman" w:hAnsi="Verdana" w:cs="Calibri"/>
                <w:color w:val="000000" w:themeColor="text2"/>
              </w:rPr>
              <w:t xml:space="preserve"> and should be carefully considered in the context of the application. Specifically, benefits may refer to things funded through merger savings or other means, giving rise to benefits that exceed the various anti-trust consequences. These are benefits that </w:t>
            </w:r>
            <w:r w:rsidR="00682CA0" w:rsidRPr="301927C4">
              <w:rPr>
                <w:rFonts w:ascii="Verdana" w:eastAsia="Times New Roman" w:hAnsi="Verdana" w:cs="Calibri"/>
                <w:color w:val="000000" w:themeColor="text2"/>
              </w:rPr>
              <w:t>did</w:t>
            </w:r>
            <w:r w:rsidR="00E34802">
              <w:rPr>
                <w:rFonts w:ascii="Verdana" w:eastAsia="Times New Roman" w:hAnsi="Verdana" w:cs="Calibri"/>
                <w:color w:val="000000" w:themeColor="text2"/>
              </w:rPr>
              <w:t xml:space="preserve"> </w:t>
            </w:r>
            <w:r w:rsidR="00682CA0" w:rsidRPr="301927C4">
              <w:rPr>
                <w:rFonts w:ascii="Verdana" w:eastAsia="Times New Roman" w:hAnsi="Verdana" w:cs="Calibri"/>
                <w:color w:val="000000" w:themeColor="text2"/>
              </w:rPr>
              <w:t>n</w:t>
            </w:r>
            <w:r w:rsidR="00E34802">
              <w:rPr>
                <w:rFonts w:ascii="Verdana" w:eastAsia="Times New Roman" w:hAnsi="Verdana" w:cs="Calibri"/>
                <w:color w:val="000000" w:themeColor="text2"/>
              </w:rPr>
              <w:t>o</w:t>
            </w:r>
            <w:r w:rsidR="00682CA0" w:rsidRPr="301927C4">
              <w:rPr>
                <w:rFonts w:ascii="Verdana" w:eastAsia="Times New Roman" w:hAnsi="Verdana" w:cs="Calibri"/>
                <w:color w:val="000000" w:themeColor="text2"/>
              </w:rPr>
              <w:t xml:space="preserve">t </w:t>
            </w:r>
            <w:r w:rsidRPr="301927C4">
              <w:rPr>
                <w:rFonts w:ascii="Verdana" w:eastAsia="Times New Roman" w:hAnsi="Verdana" w:cs="Calibri"/>
                <w:color w:val="000000" w:themeColor="text2"/>
              </w:rPr>
              <w:t xml:space="preserve">exist at all or in the same magnitude </w:t>
            </w:r>
            <w:r w:rsidR="00ED6B25">
              <w:rPr>
                <w:rFonts w:ascii="Verdana" w:eastAsia="Times New Roman" w:hAnsi="Verdana" w:cs="Calibri"/>
                <w:color w:val="000000" w:themeColor="text2"/>
              </w:rPr>
              <w:t>before</w:t>
            </w:r>
            <w:r w:rsidRPr="301927C4">
              <w:rPr>
                <w:rFonts w:ascii="Verdana" w:eastAsia="Times New Roman" w:hAnsi="Verdana" w:cs="Calibri"/>
                <w:color w:val="000000" w:themeColor="text2"/>
              </w:rPr>
              <w:t xml:space="preserve"> the merger. This term may also refer to </w:t>
            </w:r>
            <w:r w:rsidR="00ED6B25">
              <w:rPr>
                <w:rFonts w:ascii="Verdana" w:eastAsia="Times New Roman" w:hAnsi="Verdana" w:cs="Calibri"/>
                <w:color w:val="000000" w:themeColor="text2"/>
              </w:rPr>
              <w:t xml:space="preserve">the </w:t>
            </w:r>
            <w:r w:rsidRPr="301927C4">
              <w:rPr>
                <w:rFonts w:ascii="Verdana" w:eastAsia="Times New Roman" w:hAnsi="Verdana" w:cs="Calibri"/>
                <w:color w:val="000000" w:themeColor="text2"/>
              </w:rPr>
              <w:t>benefits of a rate increase, specifically how a proposed rate increase benefits the public and may include a variety of issues around funding ongoing hospital operations but do not include the funding of merger-specific benefits.</w:t>
            </w:r>
          </w:p>
        </w:tc>
      </w:tr>
      <w:tr w:rsidR="00C4502F" w:rsidRPr="00D10E9D" w14:paraId="07D583D3" w14:textId="77777777" w:rsidTr="00E34802">
        <w:trPr>
          <w:cantSplit/>
          <w:trHeight w:val="258"/>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02846F3E" w14:textId="3D901BD4"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Certificate of Public Advantage</w:t>
            </w:r>
          </w:p>
        </w:tc>
        <w:tc>
          <w:tcPr>
            <w:tcW w:w="3197" w:type="dxa"/>
            <w:noWrap/>
            <w:vAlign w:val="center"/>
          </w:tcPr>
          <w:p w14:paraId="2DAC43BD" w14:textId="5C88739F" w:rsidR="00C4502F" w:rsidRPr="00871E7E"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COPA</w:t>
            </w:r>
          </w:p>
        </w:tc>
        <w:tc>
          <w:tcPr>
            <w:tcW w:w="6093" w:type="dxa"/>
            <w:vAlign w:val="center"/>
          </w:tcPr>
          <w:p w14:paraId="5881D502" w14:textId="555DB5EB" w:rsidR="00C4502F" w:rsidRPr="00871E7E"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 xml:space="preserve">A legal means for states to permit mergers between hospitals </w:t>
            </w:r>
            <w:r w:rsidR="00ED6B25">
              <w:rPr>
                <w:rFonts w:ascii="Verdana" w:eastAsia="Times New Roman" w:hAnsi="Verdana" w:cs="Calibri"/>
                <w:color w:val="000000" w:themeColor="text2"/>
              </w:rPr>
              <w:t>that</w:t>
            </w:r>
            <w:r w:rsidR="00ED6B25" w:rsidRPr="301927C4">
              <w:rPr>
                <w:rFonts w:ascii="Verdana" w:eastAsia="Times New Roman" w:hAnsi="Verdana" w:cs="Calibri"/>
                <w:color w:val="000000" w:themeColor="text2"/>
              </w:rPr>
              <w:t xml:space="preserve"> </w:t>
            </w:r>
            <w:r w:rsidRPr="301927C4">
              <w:rPr>
                <w:rFonts w:ascii="Verdana" w:eastAsia="Times New Roman" w:hAnsi="Verdana" w:cs="Calibri"/>
                <w:color w:val="000000" w:themeColor="text2"/>
              </w:rPr>
              <w:t>would otherwise reduce or eliminate competition within the market, in exchange for the active supervision and oversight by the State, and more specifically, by the designated agency, Health and Human Services Commission (HHSC). The Certificate of Public Advantage is the written approval by HHSC that governs a cooperative agreement.</w:t>
            </w:r>
          </w:p>
        </w:tc>
      </w:tr>
      <w:tr w:rsidR="00C4502F" w:rsidRPr="00D10E9D" w14:paraId="5E1A8DAE" w14:textId="77777777" w:rsidTr="00E34802">
        <w:trPr>
          <w:cantSplit/>
          <w:trHeight w:val="1033"/>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252EDDD1" w14:textId="083CEB96" w:rsidR="00C4502F" w:rsidRPr="003B776C" w:rsidRDefault="00C4502F" w:rsidP="00E34802">
            <w:pPr>
              <w:spacing w:after="120" w:line="276" w:lineRule="auto"/>
              <w:rPr>
                <w:rFonts w:ascii="Verdana" w:eastAsia="Times New Roman" w:hAnsi="Verdana" w:cs="Calibri"/>
                <w:color w:val="000000"/>
              </w:rPr>
            </w:pPr>
            <w:r w:rsidRPr="003B5EBB">
              <w:rPr>
                <w:rFonts w:ascii="Verdana" w:eastAsia="Times New Roman" w:hAnsi="Verdana" w:cs="Calibri"/>
                <w:color w:val="000000" w:themeColor="text2"/>
              </w:rPr>
              <w:t>Chargemaster</w:t>
            </w:r>
          </w:p>
        </w:tc>
        <w:tc>
          <w:tcPr>
            <w:tcW w:w="3197" w:type="dxa"/>
            <w:noWrap/>
            <w:vAlign w:val="center"/>
          </w:tcPr>
          <w:p w14:paraId="12005C31" w14:textId="6EF9B9BC" w:rsidR="00C4502F" w:rsidRPr="00871E7E" w:rsidRDefault="301927C4"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CDM</w:t>
            </w:r>
          </w:p>
        </w:tc>
        <w:tc>
          <w:tcPr>
            <w:tcW w:w="6093" w:type="dxa"/>
            <w:vAlign w:val="center"/>
          </w:tcPr>
          <w:p w14:paraId="3F2DE0EC" w14:textId="4496ABE7" w:rsidR="00C4502F" w:rsidRPr="00871E7E" w:rsidRDefault="42193822"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szCs w:val="22"/>
              </w:rPr>
            </w:pPr>
            <w:r w:rsidRPr="301927C4">
              <w:rPr>
                <w:rFonts w:ascii="Verdana" w:eastAsia="Verdana" w:hAnsi="Verdana" w:cs="Verdana"/>
                <w:i/>
                <w:iCs/>
                <w:szCs w:val="22"/>
              </w:rPr>
              <w:t>Chargemaster (Charge Description Master or CDM)</w:t>
            </w:r>
            <w:r w:rsidRPr="301927C4">
              <w:rPr>
                <w:rFonts w:ascii="Verdana" w:eastAsia="Verdana" w:hAnsi="Verdana" w:cs="Verdana"/>
                <w:szCs w:val="22"/>
              </w:rPr>
              <w:t xml:space="preserve"> means the list of all individual items and services maintained by a hospital for which the hospital has established a charge.</w:t>
            </w:r>
          </w:p>
        </w:tc>
      </w:tr>
      <w:tr w:rsidR="00C4502F" w:rsidRPr="00D10E9D" w14:paraId="643F3136" w14:textId="77777777" w:rsidTr="00E34802">
        <w:trPr>
          <w:cantSplit/>
          <w:trHeight w:val="258"/>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3BBA4525" w14:textId="3B6E0093"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Commitments</w:t>
            </w:r>
          </w:p>
        </w:tc>
        <w:tc>
          <w:tcPr>
            <w:tcW w:w="3197" w:type="dxa"/>
            <w:noWrap/>
            <w:vAlign w:val="center"/>
          </w:tcPr>
          <w:p w14:paraId="73FB7CB9" w14:textId="4A9B8E94" w:rsidR="00C4502F" w:rsidRPr="00FF75BB"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0779BC73" w14:textId="78100E7F" w:rsidR="00C4502F" w:rsidRPr="00FF75BB"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 xml:space="preserve">Specific commitments outlined in the Application and additional commitments </w:t>
            </w:r>
            <w:r w:rsidR="00ED6B25">
              <w:rPr>
                <w:rFonts w:ascii="Verdana" w:eastAsia="Times New Roman" w:hAnsi="Verdana" w:cs="Calibri"/>
                <w:color w:val="000000" w:themeColor="text2"/>
              </w:rPr>
              <w:t>the Applicant and HHSC may agree to</w:t>
            </w:r>
            <w:r w:rsidRPr="301927C4">
              <w:rPr>
                <w:rFonts w:ascii="Verdana" w:eastAsia="Times New Roman" w:hAnsi="Verdana" w:cs="Calibri"/>
                <w:color w:val="000000" w:themeColor="text2"/>
              </w:rPr>
              <w:t xml:space="preserve"> under Terms or Conditions. Adherence to these commitments ensures that the benefits of the COPA exceed any anticompetitive effects of joining the hospitals together.</w:t>
            </w:r>
          </w:p>
        </w:tc>
      </w:tr>
      <w:tr w:rsidR="00C4502F" w:rsidRPr="00D10E9D" w14:paraId="5A99E0AD" w14:textId="77777777" w:rsidTr="00E34802">
        <w:trPr>
          <w:cantSplit/>
          <w:trHeight w:val="773"/>
        </w:trPr>
        <w:tc>
          <w:tcPr>
            <w:cnfStyle w:val="001000000000" w:firstRow="0" w:lastRow="0" w:firstColumn="1" w:lastColumn="0" w:oddVBand="0" w:evenVBand="0" w:oddHBand="0" w:evenHBand="0" w:firstRowFirstColumn="0" w:firstRowLastColumn="0" w:lastRowFirstColumn="0" w:lastRowLastColumn="0"/>
            <w:tcW w:w="4937" w:type="dxa"/>
            <w:tcBorders>
              <w:bottom w:val="single" w:sz="4" w:space="0" w:color="608FFC" w:themeColor="text1" w:themeTint="66"/>
            </w:tcBorders>
            <w:vAlign w:val="center"/>
            <w:hideMark/>
          </w:tcPr>
          <w:p w14:paraId="674FCF9D" w14:textId="4E749F95"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Comparable Hospitals</w:t>
            </w:r>
          </w:p>
        </w:tc>
        <w:tc>
          <w:tcPr>
            <w:tcW w:w="3197" w:type="dxa"/>
            <w:tcBorders>
              <w:bottom w:val="single" w:sz="4" w:space="0" w:color="608FFC" w:themeColor="text1" w:themeTint="66"/>
            </w:tcBorders>
            <w:noWrap/>
            <w:vAlign w:val="center"/>
            <w:hideMark/>
          </w:tcPr>
          <w:p w14:paraId="7BDCA28F" w14:textId="77777777" w:rsidR="00C4502F" w:rsidRPr="00D26699"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tcBorders>
              <w:bottom w:val="single" w:sz="4" w:space="0" w:color="608FFC" w:themeColor="text1" w:themeTint="66"/>
            </w:tcBorders>
            <w:vAlign w:val="center"/>
            <w:hideMark/>
          </w:tcPr>
          <w:p w14:paraId="7D164675" w14:textId="1B090D2F" w:rsidR="00C4502F" w:rsidRPr="00D26699" w:rsidRDefault="00ED6B25"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Pr>
                <w:rFonts w:ascii="Verdana" w:eastAsia="Times New Roman" w:hAnsi="Verdana"/>
                <w:color w:val="000000" w:themeColor="text2"/>
              </w:rPr>
              <w:t>H</w:t>
            </w:r>
            <w:r w:rsidR="00C4502F" w:rsidRPr="301927C4">
              <w:rPr>
                <w:rFonts w:ascii="Verdana" w:eastAsia="Times New Roman" w:hAnsi="Verdana"/>
                <w:color w:val="000000" w:themeColor="text2"/>
              </w:rPr>
              <w:t xml:space="preserve">ospitals in the market area proposed by the Merged Hospital outlined in the initial COPA application as approved by HHSC. </w:t>
            </w:r>
          </w:p>
        </w:tc>
      </w:tr>
      <w:tr w:rsidR="00C4502F" w:rsidRPr="00D10E9D" w14:paraId="73E9C56A" w14:textId="77777777" w:rsidTr="00E34802">
        <w:trPr>
          <w:cantSplit/>
          <w:trHeight w:val="845"/>
        </w:trPr>
        <w:tc>
          <w:tcPr>
            <w:cnfStyle w:val="001000000000" w:firstRow="0" w:lastRow="0" w:firstColumn="1" w:lastColumn="0" w:oddVBand="0" w:evenVBand="0" w:oddHBand="0" w:evenHBand="0" w:firstRowFirstColumn="0" w:firstRowLastColumn="0" w:lastRowFirstColumn="0" w:lastRowLastColumn="0"/>
            <w:tcW w:w="4937" w:type="dxa"/>
            <w:tcBorders>
              <w:top w:val="single" w:sz="4" w:space="0" w:color="608FFC" w:themeColor="text1" w:themeTint="66"/>
            </w:tcBorders>
            <w:vAlign w:val="center"/>
            <w:hideMark/>
          </w:tcPr>
          <w:p w14:paraId="5C4D3585" w14:textId="10D127EC"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Corresponding Net Revenue</w:t>
            </w:r>
          </w:p>
        </w:tc>
        <w:tc>
          <w:tcPr>
            <w:tcW w:w="3197" w:type="dxa"/>
            <w:tcBorders>
              <w:top w:val="single" w:sz="4" w:space="0" w:color="608FFC" w:themeColor="text1" w:themeTint="66"/>
            </w:tcBorders>
            <w:noWrap/>
            <w:vAlign w:val="center"/>
            <w:hideMark/>
          </w:tcPr>
          <w:p w14:paraId="190B2601" w14:textId="77777777" w:rsidR="00C4502F" w:rsidRPr="00394797"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tcBorders>
              <w:top w:val="single" w:sz="4" w:space="0" w:color="608FFC" w:themeColor="text1" w:themeTint="66"/>
            </w:tcBorders>
            <w:vAlign w:val="center"/>
            <w:hideMark/>
          </w:tcPr>
          <w:p w14:paraId="54484772" w14:textId="6FF3C670" w:rsidR="00C4502F" w:rsidRPr="00AD5A5A"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 xml:space="preserve">Net </w:t>
            </w:r>
            <w:r w:rsidR="003B5EBB">
              <w:rPr>
                <w:rFonts w:ascii="Verdana" w:eastAsia="Times New Roman" w:hAnsi="Verdana" w:cs="Calibri"/>
                <w:color w:val="000000" w:themeColor="text2"/>
              </w:rPr>
              <w:t>R</w:t>
            </w:r>
            <w:r w:rsidRPr="301927C4">
              <w:rPr>
                <w:rFonts w:ascii="Verdana" w:eastAsia="Times New Roman" w:hAnsi="Verdana" w:cs="Calibri"/>
                <w:color w:val="000000" w:themeColor="text2"/>
              </w:rPr>
              <w:t>evenue that corresponds to the specific comparable hospital</w:t>
            </w:r>
            <w:r w:rsidR="00682CA0">
              <w:rPr>
                <w:rFonts w:ascii="Verdana" w:eastAsia="Times New Roman" w:hAnsi="Verdana" w:cs="Calibri"/>
                <w:color w:val="000000" w:themeColor="text2"/>
              </w:rPr>
              <w:t>'</w:t>
            </w:r>
            <w:r w:rsidRPr="301927C4">
              <w:rPr>
                <w:rFonts w:ascii="Verdana" w:eastAsia="Times New Roman" w:hAnsi="Verdana" w:cs="Calibri"/>
                <w:color w:val="000000" w:themeColor="text2"/>
              </w:rPr>
              <w:t>s financial source.</w:t>
            </w:r>
          </w:p>
        </w:tc>
      </w:tr>
      <w:tr w:rsidR="00C4502F" w:rsidRPr="00D10E9D" w14:paraId="1E74B6FB" w14:textId="77777777" w:rsidTr="00E34802">
        <w:trPr>
          <w:cantSplit/>
          <w:trHeight w:val="775"/>
        </w:trPr>
        <w:tc>
          <w:tcPr>
            <w:cnfStyle w:val="001000000000" w:firstRow="0" w:lastRow="0" w:firstColumn="1" w:lastColumn="0" w:oddVBand="0" w:evenVBand="0" w:oddHBand="0" w:evenHBand="0" w:firstRowFirstColumn="0" w:firstRowLastColumn="0" w:lastRowFirstColumn="0" w:lastRowLastColumn="0"/>
            <w:tcW w:w="4937" w:type="dxa"/>
            <w:vAlign w:val="center"/>
            <w:hideMark/>
          </w:tcPr>
          <w:p w14:paraId="6A476E03" w14:textId="774E8096" w:rsidR="00C4502F" w:rsidRPr="003B776C" w:rsidRDefault="00C4502F" w:rsidP="00E34802">
            <w:pPr>
              <w:spacing w:after="120" w:line="276" w:lineRule="auto"/>
              <w:rPr>
                <w:rFonts w:ascii="Verdana" w:eastAsia="Times New Roman" w:hAnsi="Verdana" w:cs="Calibri"/>
                <w:color w:val="000000"/>
              </w:rPr>
            </w:pPr>
            <w:r w:rsidRPr="003B5EBB">
              <w:rPr>
                <w:rFonts w:ascii="Verdana" w:eastAsia="Times New Roman" w:hAnsi="Verdana" w:cs="Calibri"/>
                <w:color w:val="000000" w:themeColor="text2"/>
              </w:rPr>
              <w:t>Current Procedur</w:t>
            </w:r>
            <w:r w:rsidRPr="003B776C">
              <w:rPr>
                <w:rFonts w:ascii="Verdana" w:eastAsia="Times New Roman" w:hAnsi="Verdana" w:cs="Calibri"/>
                <w:color w:val="000000" w:themeColor="text2"/>
              </w:rPr>
              <w:t>al</w:t>
            </w:r>
            <w:r w:rsidRPr="003B5EBB">
              <w:rPr>
                <w:rFonts w:ascii="Verdana" w:eastAsia="Times New Roman" w:hAnsi="Verdana" w:cs="Calibri"/>
                <w:color w:val="000000" w:themeColor="text2"/>
              </w:rPr>
              <w:t xml:space="preserve"> Terminology</w:t>
            </w:r>
          </w:p>
        </w:tc>
        <w:tc>
          <w:tcPr>
            <w:tcW w:w="3197" w:type="dxa"/>
            <w:noWrap/>
            <w:vAlign w:val="center"/>
            <w:hideMark/>
          </w:tcPr>
          <w:p w14:paraId="515468B1" w14:textId="7B19A680" w:rsidR="00C4502F" w:rsidRPr="00AD5A5A"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CPT</w:t>
            </w:r>
          </w:p>
        </w:tc>
        <w:tc>
          <w:tcPr>
            <w:tcW w:w="6093" w:type="dxa"/>
            <w:vAlign w:val="center"/>
            <w:hideMark/>
          </w:tcPr>
          <w:p w14:paraId="11846072" w14:textId="7C55A0F5" w:rsidR="00C4502F" w:rsidRPr="003B5EBB" w:rsidRDefault="00ED6B25"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themeColor="text2"/>
              </w:rPr>
            </w:pPr>
            <w:r>
              <w:rPr>
                <w:rFonts w:ascii="Verdana" w:eastAsia="Times New Roman" w:hAnsi="Verdana" w:cs="Calibri"/>
                <w:color w:val="000000" w:themeColor="text2"/>
              </w:rPr>
              <w:t>A</w:t>
            </w:r>
            <w:r w:rsidR="301927C4" w:rsidRPr="003B5EBB">
              <w:rPr>
                <w:rFonts w:ascii="Verdana" w:eastAsia="Times New Roman" w:hAnsi="Verdana" w:cs="Calibri"/>
                <w:color w:val="000000" w:themeColor="text2"/>
              </w:rPr>
              <w:t xml:space="preserve"> medical code set </w:t>
            </w:r>
            <w:r w:rsidR="00682CA0">
              <w:rPr>
                <w:rFonts w:ascii="Verdana" w:eastAsia="Times New Roman" w:hAnsi="Verdana" w:cs="Calibri"/>
                <w:color w:val="000000" w:themeColor="text2"/>
              </w:rPr>
              <w:t>reports</w:t>
            </w:r>
            <w:r w:rsidR="301927C4" w:rsidRPr="003B5EBB">
              <w:rPr>
                <w:rFonts w:ascii="Verdana" w:eastAsia="Times New Roman" w:hAnsi="Verdana" w:cs="Calibri"/>
                <w:color w:val="000000" w:themeColor="text2"/>
              </w:rPr>
              <w:t xml:space="preserve"> medical, surgical, and diagnostic procedures and services to healthcare entities.</w:t>
            </w:r>
          </w:p>
        </w:tc>
      </w:tr>
      <w:tr w:rsidR="00C4502F" w:rsidRPr="00D10E9D" w14:paraId="466E97FF" w14:textId="77777777" w:rsidTr="00E34802">
        <w:trPr>
          <w:cantSplit/>
          <w:trHeight w:val="258"/>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7ED7E511" w14:textId="0D4A4706"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Earnings Before Interest, Taxes, Depreciation, and Amortization</w:t>
            </w:r>
          </w:p>
        </w:tc>
        <w:tc>
          <w:tcPr>
            <w:tcW w:w="3197" w:type="dxa"/>
            <w:noWrap/>
            <w:vAlign w:val="center"/>
          </w:tcPr>
          <w:p w14:paraId="3B7BBCA1" w14:textId="75935811" w:rsidR="00C4502F" w:rsidRPr="00F34F09"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EBITDA</w:t>
            </w:r>
          </w:p>
        </w:tc>
        <w:tc>
          <w:tcPr>
            <w:tcW w:w="6093" w:type="dxa"/>
            <w:vAlign w:val="center"/>
          </w:tcPr>
          <w:p w14:paraId="15004548" w14:textId="7C0CE0A5" w:rsidR="00C4502F" w:rsidRPr="0017199D"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A term commonly used to measure cash from operations before consideration of debt. It includes earnings or income before interest, taxes (income-based taxes only), depreciation, and amortization.</w:t>
            </w:r>
          </w:p>
        </w:tc>
      </w:tr>
      <w:tr w:rsidR="00C4502F" w:rsidRPr="00D10E9D" w14:paraId="436E33C1" w14:textId="77777777" w:rsidTr="00E34802">
        <w:trPr>
          <w:cantSplit/>
          <w:trHeight w:val="258"/>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7E9C6C2F" w14:textId="2E8E18B9"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EBITDA Margin</w:t>
            </w:r>
          </w:p>
        </w:tc>
        <w:tc>
          <w:tcPr>
            <w:tcW w:w="3197" w:type="dxa"/>
            <w:noWrap/>
            <w:vAlign w:val="center"/>
          </w:tcPr>
          <w:p w14:paraId="51EF3F55" w14:textId="1C574B33" w:rsidR="00C4502F" w:rsidRPr="00F34F09"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03BB4C63" w14:textId="15130DB5" w:rsidR="00C4502F" w:rsidRPr="0017199D"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Earnings (net income) before interest, taxes (income-based taxes only), depreciation</w:t>
            </w:r>
            <w:r w:rsidR="00ED6B25">
              <w:rPr>
                <w:rFonts w:ascii="Verdana" w:eastAsia="Times New Roman" w:hAnsi="Verdana" w:cs="Calibri"/>
                <w:color w:val="000000" w:themeColor="text2"/>
              </w:rPr>
              <w:t>,</w:t>
            </w:r>
            <w:r w:rsidRPr="301927C4">
              <w:rPr>
                <w:rFonts w:ascii="Verdana" w:eastAsia="Times New Roman" w:hAnsi="Verdana" w:cs="Calibri"/>
                <w:color w:val="000000" w:themeColor="text2"/>
              </w:rPr>
              <w:t xml:space="preserve"> and amortization (EBITDA) divided by Net Revenue.</w:t>
            </w:r>
          </w:p>
        </w:tc>
      </w:tr>
      <w:tr w:rsidR="00C4502F" w:rsidRPr="00D10E9D" w14:paraId="1430DDDC" w14:textId="77777777" w:rsidTr="00E34802">
        <w:trPr>
          <w:cantSplit/>
          <w:trHeight w:val="516"/>
        </w:trPr>
        <w:tc>
          <w:tcPr>
            <w:cnfStyle w:val="001000000000" w:firstRow="0" w:lastRow="0" w:firstColumn="1" w:lastColumn="0" w:oddVBand="0" w:evenVBand="0" w:oddHBand="0" w:evenHBand="0" w:firstRowFirstColumn="0" w:firstRowLastColumn="0" w:lastRowFirstColumn="0" w:lastRowLastColumn="0"/>
            <w:tcW w:w="4937" w:type="dxa"/>
            <w:vAlign w:val="center"/>
            <w:hideMark/>
          </w:tcPr>
          <w:p w14:paraId="75C43905" w14:textId="61C85EEC" w:rsidR="00C4502F" w:rsidRPr="003B776C" w:rsidRDefault="00C4502F" w:rsidP="00E34802">
            <w:pPr>
              <w:spacing w:after="120" w:line="276" w:lineRule="auto"/>
              <w:rPr>
                <w:rFonts w:ascii="Verdana" w:eastAsia="Times New Roman" w:hAnsi="Verdana" w:cs="Calibri"/>
                <w:color w:val="000000"/>
              </w:rPr>
            </w:pPr>
            <w:r w:rsidRPr="003B5EBB">
              <w:rPr>
                <w:rFonts w:ascii="Verdana" w:eastAsia="Times New Roman" w:hAnsi="Verdana" w:cs="Calibri"/>
                <w:color w:val="000000" w:themeColor="text2"/>
              </w:rPr>
              <w:t>Financial Assistance Program</w:t>
            </w:r>
          </w:p>
        </w:tc>
        <w:tc>
          <w:tcPr>
            <w:tcW w:w="3197" w:type="dxa"/>
            <w:noWrap/>
            <w:vAlign w:val="center"/>
            <w:hideMark/>
          </w:tcPr>
          <w:p w14:paraId="03CC60B8" w14:textId="5EEE7B05" w:rsidR="00C4502F" w:rsidRPr="00135D5B"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FAP</w:t>
            </w:r>
          </w:p>
        </w:tc>
        <w:tc>
          <w:tcPr>
            <w:tcW w:w="6093" w:type="dxa"/>
            <w:vAlign w:val="center"/>
            <w:hideMark/>
          </w:tcPr>
          <w:p w14:paraId="55ED85BF" w14:textId="10B352E3" w:rsidR="00C4502F" w:rsidRPr="00135D5B" w:rsidRDefault="42193822"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 xml:space="preserve">Financial assistance to an applicant or participant to accomplish a public purpose of support </w:t>
            </w:r>
          </w:p>
        </w:tc>
      </w:tr>
      <w:tr w:rsidR="00C4502F" w:rsidRPr="00D10E9D" w14:paraId="291E3E30" w14:textId="77777777" w:rsidTr="00E34802">
        <w:trPr>
          <w:cantSplit/>
          <w:trHeight w:val="630"/>
        </w:trPr>
        <w:tc>
          <w:tcPr>
            <w:cnfStyle w:val="001000000000" w:firstRow="0" w:lastRow="0" w:firstColumn="1" w:lastColumn="0" w:oddVBand="0" w:evenVBand="0" w:oddHBand="0" w:evenHBand="0" w:firstRowFirstColumn="0" w:firstRowLastColumn="0" w:lastRowFirstColumn="0" w:lastRowLastColumn="0"/>
            <w:tcW w:w="4937" w:type="dxa"/>
            <w:vAlign w:val="center"/>
            <w:hideMark/>
          </w:tcPr>
          <w:p w14:paraId="31BC02DC" w14:textId="47B16ACD" w:rsidR="00C4502F" w:rsidRPr="003B776C" w:rsidRDefault="00C4502F" w:rsidP="00E34802">
            <w:pPr>
              <w:spacing w:after="120" w:line="276" w:lineRule="auto"/>
              <w:rPr>
                <w:rFonts w:ascii="Verdana" w:eastAsia="Times New Roman" w:hAnsi="Verdana" w:cs="Calibri"/>
                <w:color w:val="000000"/>
              </w:rPr>
            </w:pPr>
            <w:r w:rsidRPr="003B5EBB">
              <w:rPr>
                <w:rFonts w:ascii="Verdana" w:eastAsia="Times New Roman" w:hAnsi="Verdana" w:cs="Calibri"/>
                <w:color w:val="000000" w:themeColor="text2"/>
              </w:rPr>
              <w:t>Generally Accepted Accounting Principals</w:t>
            </w:r>
          </w:p>
        </w:tc>
        <w:tc>
          <w:tcPr>
            <w:tcW w:w="3197" w:type="dxa"/>
            <w:noWrap/>
            <w:vAlign w:val="center"/>
            <w:hideMark/>
          </w:tcPr>
          <w:p w14:paraId="14C685C5" w14:textId="4BFC202F" w:rsidR="00C4502F" w:rsidRPr="000A6EB7"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GAAP</w:t>
            </w:r>
          </w:p>
        </w:tc>
        <w:tc>
          <w:tcPr>
            <w:tcW w:w="6093" w:type="dxa"/>
            <w:vAlign w:val="center"/>
            <w:hideMark/>
          </w:tcPr>
          <w:p w14:paraId="5A6328BA" w14:textId="1701A4A9" w:rsidR="00C4502F" w:rsidRPr="000A6EB7" w:rsidRDefault="00ED6B25"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Pr>
                <w:rFonts w:ascii="Verdana" w:eastAsia="Times New Roman" w:hAnsi="Verdana" w:cs="Calibri"/>
                <w:color w:val="000000" w:themeColor="text2"/>
              </w:rPr>
              <w:t>A common</w:t>
            </w:r>
            <w:r w:rsidRPr="301927C4">
              <w:rPr>
                <w:rFonts w:ascii="Verdana" w:eastAsia="Times New Roman" w:hAnsi="Verdana" w:cs="Calibri"/>
                <w:color w:val="000000" w:themeColor="text2"/>
              </w:rPr>
              <w:t xml:space="preserve"> </w:t>
            </w:r>
            <w:r w:rsidR="42193822" w:rsidRPr="301927C4">
              <w:rPr>
                <w:rFonts w:ascii="Verdana" w:eastAsia="Times New Roman" w:hAnsi="Verdana" w:cs="Calibri"/>
                <w:color w:val="000000" w:themeColor="text2"/>
              </w:rPr>
              <w:t xml:space="preserve">set of accounting principles, standards, and procedures issued by the Financial Accounting Standards </w:t>
            </w:r>
            <w:r w:rsidR="003B5EBB">
              <w:rPr>
                <w:rFonts w:ascii="Verdana" w:eastAsia="Times New Roman" w:hAnsi="Verdana" w:cs="Calibri"/>
                <w:color w:val="000000" w:themeColor="text2"/>
              </w:rPr>
              <w:t>Board</w:t>
            </w:r>
            <w:r w:rsidR="42193822" w:rsidRPr="301927C4">
              <w:rPr>
                <w:rFonts w:ascii="Verdana" w:eastAsia="Times New Roman" w:hAnsi="Verdana" w:cs="Calibri"/>
                <w:color w:val="000000" w:themeColor="text2"/>
              </w:rPr>
              <w:t>.</w:t>
            </w:r>
          </w:p>
        </w:tc>
      </w:tr>
      <w:tr w:rsidR="00C4502F" w:rsidRPr="00D10E9D" w14:paraId="3FFD74EF" w14:textId="77777777" w:rsidTr="00E34802">
        <w:trPr>
          <w:cantSplit/>
          <w:trHeight w:val="1550"/>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08449062" w14:textId="2B9CA2BC"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Gross Charges</w:t>
            </w:r>
          </w:p>
        </w:tc>
        <w:tc>
          <w:tcPr>
            <w:tcW w:w="3197" w:type="dxa"/>
            <w:noWrap/>
            <w:vAlign w:val="center"/>
          </w:tcPr>
          <w:p w14:paraId="4963A404" w14:textId="4CB23012" w:rsidR="00C4502F" w:rsidRPr="000A6EB7"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1B98623D" w14:textId="4A194F20" w:rsidR="00C4502F" w:rsidRPr="000A6EB7"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Th</w:t>
            </w:r>
            <w:r w:rsidR="00682CA0">
              <w:rPr>
                <w:rFonts w:ascii="Verdana" w:eastAsia="Times New Roman" w:hAnsi="Verdana" w:cs="Calibri"/>
                <w:color w:val="000000" w:themeColor="text2"/>
              </w:rPr>
              <w:t>e hospital industry more commonly uses this term</w:t>
            </w:r>
            <w:r w:rsidRPr="301927C4">
              <w:rPr>
                <w:rFonts w:ascii="Verdana" w:eastAsia="Times New Roman" w:hAnsi="Verdana" w:cs="Calibri"/>
                <w:color w:val="000000" w:themeColor="text2"/>
              </w:rPr>
              <w:t xml:space="preserve"> to </w:t>
            </w:r>
            <w:r w:rsidR="00ED6B25">
              <w:rPr>
                <w:rFonts w:ascii="Verdana" w:eastAsia="Times New Roman" w:hAnsi="Verdana" w:cs="Calibri"/>
                <w:color w:val="000000" w:themeColor="text2"/>
              </w:rPr>
              <w:t>mean the same thing</w:t>
            </w:r>
            <w:r w:rsidRPr="301927C4">
              <w:rPr>
                <w:rFonts w:ascii="Verdana" w:eastAsia="Times New Roman" w:hAnsi="Verdana" w:cs="Calibri"/>
                <w:color w:val="000000" w:themeColor="text2"/>
              </w:rPr>
              <w:t xml:space="preserve"> as Rates. </w:t>
            </w:r>
            <w:r w:rsidR="00682CA0">
              <w:rPr>
                <w:rFonts w:ascii="Verdana" w:eastAsia="Times New Roman" w:hAnsi="Verdana" w:cs="Calibri"/>
                <w:color w:val="000000" w:themeColor="text2"/>
              </w:rPr>
              <w:t>A hospital or other provider makes the standard charge</w:t>
            </w:r>
            <w:r w:rsidRPr="301927C4">
              <w:rPr>
                <w:rFonts w:ascii="Verdana" w:eastAsia="Times New Roman" w:hAnsi="Verdana" w:cs="Calibri"/>
                <w:color w:val="000000" w:themeColor="text2"/>
              </w:rPr>
              <w:t xml:space="preserve"> before discounts or contractual adjustments based on an agreed or regulated payment amount for the service. Also commonly referred to as billed charges.</w:t>
            </w:r>
          </w:p>
        </w:tc>
      </w:tr>
      <w:tr w:rsidR="00C4502F" w:rsidRPr="00D10E9D" w14:paraId="7073E829" w14:textId="77777777" w:rsidTr="00E34802">
        <w:trPr>
          <w:cantSplit/>
          <w:trHeight w:val="369"/>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668A5808" w14:textId="580FDC37" w:rsidR="00C4502F" w:rsidRPr="003B776C" w:rsidRDefault="42193822" w:rsidP="00E34802">
            <w:pPr>
              <w:spacing w:after="120" w:line="276" w:lineRule="auto"/>
              <w:rPr>
                <w:rFonts w:ascii="Verdana" w:eastAsia="Times New Roman" w:hAnsi="Verdana" w:cs="Calibri"/>
                <w:color w:val="000000" w:themeColor="text2"/>
              </w:rPr>
            </w:pPr>
            <w:r w:rsidRPr="003B776C">
              <w:rPr>
                <w:rFonts w:ascii="Verdana" w:eastAsia="Times New Roman" w:hAnsi="Verdana" w:cs="Calibri"/>
                <w:color w:val="000000" w:themeColor="text2"/>
              </w:rPr>
              <w:t>Healthcare Common Procedure Coding System</w:t>
            </w:r>
          </w:p>
          <w:p w14:paraId="797BC631" w14:textId="4C8913A3" w:rsidR="00C4502F" w:rsidRPr="003B776C" w:rsidRDefault="00C4502F" w:rsidP="00E34802">
            <w:pPr>
              <w:spacing w:after="120" w:line="276" w:lineRule="auto"/>
              <w:rPr>
                <w:rFonts w:ascii="Verdana" w:eastAsia="Times New Roman" w:hAnsi="Verdana" w:cs="Calibri"/>
                <w:color w:val="000000"/>
              </w:rPr>
            </w:pPr>
          </w:p>
        </w:tc>
        <w:tc>
          <w:tcPr>
            <w:tcW w:w="3197" w:type="dxa"/>
            <w:noWrap/>
            <w:vAlign w:val="center"/>
          </w:tcPr>
          <w:p w14:paraId="4C5F14BC" w14:textId="17B30134" w:rsidR="00C4502F" w:rsidRPr="000A6EB7"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themeColor="text2"/>
              </w:rPr>
            </w:pPr>
            <w:r w:rsidRPr="003B776C">
              <w:rPr>
                <w:rFonts w:ascii="Verdana" w:eastAsia="Times New Roman" w:hAnsi="Verdana" w:cs="Calibri"/>
                <w:color w:val="000000" w:themeColor="text2"/>
              </w:rPr>
              <w:t>HCPCS</w:t>
            </w:r>
          </w:p>
          <w:p w14:paraId="1C6F500C" w14:textId="40E5CD68" w:rsidR="00C4502F" w:rsidRPr="000A6EB7"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3A15C6AF" w14:textId="47FD5C5C" w:rsidR="00C4502F" w:rsidRPr="000A6EB7" w:rsidRDefault="301927C4"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333333"/>
                <w:sz w:val="21"/>
                <w:szCs w:val="21"/>
              </w:rPr>
            </w:pPr>
            <w:r w:rsidRPr="003B5EBB">
              <w:rPr>
                <w:rFonts w:ascii="Verdana" w:eastAsia="Times New Roman" w:hAnsi="Verdana" w:cs="Calibri"/>
                <w:color w:val="000000" w:themeColor="text2"/>
              </w:rPr>
              <w:t xml:space="preserve">The Healthcare Common Procedure Coding System is a set of health care procedure codes based on the American Medical </w:t>
            </w:r>
            <w:r w:rsidR="00682CA0" w:rsidRPr="003B5EBB">
              <w:rPr>
                <w:rFonts w:ascii="Verdana" w:eastAsia="Times New Roman" w:hAnsi="Verdana" w:cs="Calibri"/>
                <w:color w:val="000000" w:themeColor="text2"/>
              </w:rPr>
              <w:t>Association</w:t>
            </w:r>
            <w:r w:rsidR="00682CA0">
              <w:rPr>
                <w:rFonts w:ascii="Verdana" w:eastAsia="Times New Roman" w:hAnsi="Verdana" w:cs="Calibri"/>
                <w:color w:val="000000" w:themeColor="text2"/>
              </w:rPr>
              <w:t>’</w:t>
            </w:r>
            <w:r w:rsidR="00682CA0" w:rsidRPr="003B5EBB">
              <w:rPr>
                <w:rFonts w:ascii="Verdana" w:eastAsia="Times New Roman" w:hAnsi="Verdana" w:cs="Calibri"/>
                <w:color w:val="000000" w:themeColor="text2"/>
              </w:rPr>
              <w:t xml:space="preserve">s </w:t>
            </w:r>
            <w:r w:rsidRPr="003B5EBB">
              <w:rPr>
                <w:rFonts w:ascii="Verdana" w:eastAsia="Times New Roman" w:hAnsi="Verdana" w:cs="Calibri"/>
                <w:color w:val="000000" w:themeColor="text2"/>
              </w:rPr>
              <w:t>Current Procedural Terminology. HCPCS codes primarily correspond to services, procedures, and equipment not covered by CPT</w:t>
            </w:r>
            <w:r w:rsidRPr="00E34802">
              <w:rPr>
                <w:rFonts w:ascii="Verdana" w:eastAsia="Times New Roman" w:hAnsi="Verdana" w:cs="Calibri"/>
                <w:color w:val="000000" w:themeColor="text2"/>
                <w:vertAlign w:val="superscript"/>
              </w:rPr>
              <w:t>®</w:t>
            </w:r>
            <w:r w:rsidRPr="003B5EBB">
              <w:rPr>
                <w:rFonts w:ascii="Verdana" w:eastAsia="Times New Roman" w:hAnsi="Verdana" w:cs="Calibri"/>
                <w:color w:val="000000" w:themeColor="text2"/>
              </w:rPr>
              <w:t xml:space="preserve"> codes.</w:t>
            </w:r>
          </w:p>
        </w:tc>
      </w:tr>
      <w:tr w:rsidR="00C4502F" w:rsidRPr="00D10E9D" w14:paraId="21394BBC" w14:textId="77777777" w:rsidTr="00E34802">
        <w:trPr>
          <w:cantSplit/>
          <w:trHeight w:val="516"/>
        </w:trPr>
        <w:tc>
          <w:tcPr>
            <w:cnfStyle w:val="001000000000" w:firstRow="0" w:lastRow="0" w:firstColumn="1" w:lastColumn="0" w:oddVBand="0" w:evenVBand="0" w:oddHBand="0" w:evenHBand="0" w:firstRowFirstColumn="0" w:firstRowLastColumn="0" w:lastRowFirstColumn="0" w:lastRowLastColumn="0"/>
            <w:tcW w:w="4937" w:type="dxa"/>
            <w:vAlign w:val="center"/>
            <w:hideMark/>
          </w:tcPr>
          <w:p w14:paraId="3C20AE04" w14:textId="099A177B"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Health and Human Service Commission</w:t>
            </w:r>
          </w:p>
        </w:tc>
        <w:tc>
          <w:tcPr>
            <w:tcW w:w="3197" w:type="dxa"/>
            <w:noWrap/>
            <w:vAlign w:val="center"/>
            <w:hideMark/>
          </w:tcPr>
          <w:p w14:paraId="4CC09DAE" w14:textId="7783833A" w:rsidR="00C4502F" w:rsidRPr="000975B0"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HHSC</w:t>
            </w:r>
          </w:p>
        </w:tc>
        <w:tc>
          <w:tcPr>
            <w:tcW w:w="6093" w:type="dxa"/>
            <w:vAlign w:val="center"/>
            <w:hideMark/>
          </w:tcPr>
          <w:p w14:paraId="67CF92A2" w14:textId="52579848" w:rsidR="00C4502F" w:rsidRPr="00230287"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The agency designated by the Governor to administer COPA legislation.</w:t>
            </w:r>
          </w:p>
        </w:tc>
      </w:tr>
      <w:tr w:rsidR="00C4502F" w:rsidRPr="00D10E9D" w14:paraId="1DCC07B9" w14:textId="77777777" w:rsidTr="00E34802">
        <w:trPr>
          <w:cantSplit/>
          <w:trHeight w:val="516"/>
        </w:trPr>
        <w:tc>
          <w:tcPr>
            <w:cnfStyle w:val="001000000000" w:firstRow="0" w:lastRow="0" w:firstColumn="1" w:lastColumn="0" w:oddVBand="0" w:evenVBand="0" w:oddHBand="0" w:evenHBand="0" w:firstRowFirstColumn="0" w:firstRowLastColumn="0" w:lastRowFirstColumn="0" w:lastRowLastColumn="0"/>
            <w:tcW w:w="4937" w:type="dxa"/>
            <w:vAlign w:val="center"/>
            <w:hideMark/>
          </w:tcPr>
          <w:p w14:paraId="2E1B40F1" w14:textId="32D38AF3"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Hospital</w:t>
            </w:r>
          </w:p>
        </w:tc>
        <w:tc>
          <w:tcPr>
            <w:tcW w:w="3197" w:type="dxa"/>
            <w:noWrap/>
            <w:vAlign w:val="center"/>
            <w:hideMark/>
          </w:tcPr>
          <w:p w14:paraId="669728A0" w14:textId="78866B95" w:rsidR="00C4502F" w:rsidRPr="00DD3C4A"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hideMark/>
          </w:tcPr>
          <w:p w14:paraId="4819B89C" w14:textId="483515E6" w:rsidR="00C4502F" w:rsidRPr="00684BA7" w:rsidRDefault="001568C5"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Pr>
                <w:rFonts w:ascii="Verdana" w:hAnsi="Verdana"/>
              </w:rPr>
              <w:t>For purposes of this application, a</w:t>
            </w:r>
            <w:r w:rsidRPr="301927C4">
              <w:rPr>
                <w:rFonts w:ascii="Verdana" w:hAnsi="Verdana"/>
              </w:rPr>
              <w:t xml:space="preserve"> </w:t>
            </w:r>
            <w:r w:rsidR="00C4502F" w:rsidRPr="301927C4">
              <w:rPr>
                <w:rFonts w:ascii="Verdana" w:hAnsi="Verdana"/>
              </w:rPr>
              <w:t>nonpublic</w:t>
            </w:r>
            <w:r w:rsidR="00C4502F" w:rsidRPr="301927C4">
              <w:rPr>
                <w:rFonts w:ascii="Verdana" w:hAnsi="Verdana"/>
                <w:spacing w:val="-1"/>
              </w:rPr>
              <w:t xml:space="preserve"> </w:t>
            </w:r>
            <w:r w:rsidR="00C4502F" w:rsidRPr="301927C4">
              <w:rPr>
                <w:rFonts w:ascii="Verdana" w:hAnsi="Verdana"/>
              </w:rPr>
              <w:t>general</w:t>
            </w:r>
            <w:r w:rsidR="00C4502F" w:rsidRPr="301927C4">
              <w:rPr>
                <w:rFonts w:ascii="Verdana" w:hAnsi="Verdana"/>
                <w:spacing w:val="-1"/>
              </w:rPr>
              <w:t xml:space="preserve"> </w:t>
            </w:r>
            <w:r w:rsidR="00C4502F" w:rsidRPr="301927C4">
              <w:rPr>
                <w:rFonts w:ascii="Verdana" w:hAnsi="Verdana"/>
              </w:rPr>
              <w:t>hospital</w:t>
            </w:r>
            <w:r w:rsidR="00C4502F" w:rsidRPr="301927C4">
              <w:rPr>
                <w:rFonts w:ascii="Verdana" w:hAnsi="Verdana"/>
                <w:spacing w:val="-1"/>
              </w:rPr>
              <w:t xml:space="preserve"> </w:t>
            </w:r>
            <w:r w:rsidR="00C4502F" w:rsidRPr="301927C4">
              <w:rPr>
                <w:rFonts w:ascii="Verdana" w:hAnsi="Verdana"/>
              </w:rPr>
              <w:t>licensed</w:t>
            </w:r>
            <w:r w:rsidR="00C4502F" w:rsidRPr="301927C4">
              <w:rPr>
                <w:rFonts w:ascii="Verdana" w:hAnsi="Verdana"/>
                <w:spacing w:val="-1"/>
              </w:rPr>
              <w:t xml:space="preserve"> </w:t>
            </w:r>
            <w:r w:rsidR="00C4502F" w:rsidRPr="301927C4">
              <w:rPr>
                <w:rFonts w:ascii="Verdana" w:hAnsi="Verdana"/>
              </w:rPr>
              <w:t>under</w:t>
            </w:r>
            <w:r w:rsidR="00C4502F" w:rsidRPr="301927C4">
              <w:rPr>
                <w:rFonts w:ascii="Verdana" w:hAnsi="Verdana"/>
                <w:spacing w:val="-1"/>
              </w:rPr>
              <w:t xml:space="preserve"> Texas Health and Safety Code </w:t>
            </w:r>
            <w:r w:rsidR="00C4502F" w:rsidRPr="301927C4">
              <w:rPr>
                <w:rFonts w:ascii="Verdana" w:hAnsi="Verdana"/>
              </w:rPr>
              <w:t>Chapter</w:t>
            </w:r>
            <w:r w:rsidR="00C4502F" w:rsidRPr="301927C4">
              <w:rPr>
                <w:rFonts w:ascii="Verdana" w:hAnsi="Verdana"/>
                <w:spacing w:val="-1"/>
              </w:rPr>
              <w:t xml:space="preserve"> </w:t>
            </w:r>
            <w:r w:rsidR="00C4502F" w:rsidRPr="301927C4">
              <w:rPr>
                <w:rFonts w:ascii="Verdana" w:hAnsi="Verdana"/>
              </w:rPr>
              <w:t>241</w:t>
            </w:r>
            <w:r w:rsidR="00C4502F" w:rsidRPr="301927C4">
              <w:rPr>
                <w:rFonts w:ascii="Verdana" w:hAnsi="Verdana"/>
                <w:spacing w:val="-1"/>
              </w:rPr>
              <w:t xml:space="preserve"> </w:t>
            </w:r>
            <w:r w:rsidR="00C4502F" w:rsidRPr="301927C4">
              <w:rPr>
                <w:rFonts w:ascii="Verdana" w:hAnsi="Verdana"/>
              </w:rPr>
              <w:t>and not maintained or operated by a political</w:t>
            </w:r>
            <w:r w:rsidR="00C4502F" w:rsidRPr="301927C4">
              <w:rPr>
                <w:rFonts w:ascii="Verdana" w:hAnsi="Verdana"/>
                <w:spacing w:val="-1"/>
              </w:rPr>
              <w:t xml:space="preserve"> </w:t>
            </w:r>
            <w:r w:rsidR="00C4502F" w:rsidRPr="301927C4">
              <w:rPr>
                <w:rFonts w:ascii="Verdana" w:hAnsi="Verdana"/>
              </w:rPr>
              <w:t>subdivision</w:t>
            </w:r>
            <w:r w:rsidR="00C4502F" w:rsidRPr="301927C4">
              <w:rPr>
                <w:rFonts w:ascii="Verdana" w:hAnsi="Verdana"/>
                <w:spacing w:val="-2"/>
              </w:rPr>
              <w:t xml:space="preserve"> </w:t>
            </w:r>
            <w:r w:rsidR="00C4502F" w:rsidRPr="301927C4">
              <w:rPr>
                <w:rFonts w:ascii="Verdana" w:hAnsi="Verdana"/>
              </w:rPr>
              <w:t>of</w:t>
            </w:r>
            <w:r w:rsidR="00C4502F" w:rsidRPr="301927C4">
              <w:rPr>
                <w:rFonts w:ascii="Verdana" w:hAnsi="Verdana"/>
                <w:spacing w:val="-1"/>
              </w:rPr>
              <w:t xml:space="preserve"> </w:t>
            </w:r>
            <w:r w:rsidR="00C4502F" w:rsidRPr="301927C4">
              <w:rPr>
                <w:rFonts w:ascii="Verdana" w:hAnsi="Verdana"/>
              </w:rPr>
              <w:t>this</w:t>
            </w:r>
            <w:r w:rsidR="00C4502F" w:rsidRPr="301927C4">
              <w:rPr>
                <w:rFonts w:ascii="Verdana" w:hAnsi="Verdana"/>
                <w:spacing w:val="-1"/>
              </w:rPr>
              <w:t xml:space="preserve"> </w:t>
            </w:r>
            <w:r w:rsidR="00C4502F" w:rsidRPr="301927C4">
              <w:rPr>
                <w:rFonts w:ascii="Verdana" w:hAnsi="Verdana"/>
              </w:rPr>
              <w:t>state.</w:t>
            </w:r>
          </w:p>
        </w:tc>
      </w:tr>
      <w:tr w:rsidR="00C4502F" w:rsidRPr="00D10E9D" w14:paraId="6F97F69A" w14:textId="77777777" w:rsidTr="00E34802">
        <w:trPr>
          <w:cantSplit/>
          <w:trHeight w:val="775"/>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44B99754" w14:textId="390D03D2"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Long Term Debt to Total Capitalization</w:t>
            </w:r>
          </w:p>
        </w:tc>
        <w:tc>
          <w:tcPr>
            <w:tcW w:w="3197" w:type="dxa"/>
            <w:noWrap/>
            <w:vAlign w:val="center"/>
          </w:tcPr>
          <w:p w14:paraId="1EEF4DE8" w14:textId="3C60FC08" w:rsidR="00C4502F"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5D8C6F55" w14:textId="54D23878" w:rsidR="00C4502F"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Long-term debt of all types</w:t>
            </w:r>
            <w:r w:rsidR="009A57B2">
              <w:rPr>
                <w:rFonts w:ascii="Verdana" w:eastAsia="Times New Roman" w:hAnsi="Verdana" w:cs="Calibri"/>
                <w:color w:val="000000" w:themeColor="text2"/>
              </w:rPr>
              <w:t>,</w:t>
            </w:r>
            <w:r w:rsidRPr="301927C4">
              <w:rPr>
                <w:rFonts w:ascii="Verdana" w:eastAsia="Times New Roman" w:hAnsi="Verdana" w:cs="Calibri"/>
                <w:color w:val="000000" w:themeColor="text2"/>
              </w:rPr>
              <w:t xml:space="preserve"> divided by the sum of long-term debt and equity (also referred to as fund balances and net assets).</w:t>
            </w:r>
          </w:p>
        </w:tc>
      </w:tr>
      <w:tr w:rsidR="00C4502F" w:rsidRPr="00D10E9D" w14:paraId="2B4B051A" w14:textId="77777777" w:rsidTr="00E34802">
        <w:trPr>
          <w:cantSplit/>
          <w:trHeight w:val="775"/>
        </w:trPr>
        <w:tc>
          <w:tcPr>
            <w:cnfStyle w:val="001000000000" w:firstRow="0" w:lastRow="0" w:firstColumn="1" w:lastColumn="0" w:oddVBand="0" w:evenVBand="0" w:oddHBand="0" w:evenHBand="0" w:firstRowFirstColumn="0" w:firstRowLastColumn="0" w:lastRowFirstColumn="0" w:lastRowLastColumn="0"/>
            <w:tcW w:w="4937" w:type="dxa"/>
            <w:tcBorders>
              <w:bottom w:val="single" w:sz="4" w:space="0" w:color="608FFC" w:themeColor="text1" w:themeTint="66"/>
            </w:tcBorders>
            <w:vAlign w:val="center"/>
          </w:tcPr>
          <w:p w14:paraId="5156616C" w14:textId="7D9C0371"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Market Area</w:t>
            </w:r>
          </w:p>
        </w:tc>
        <w:tc>
          <w:tcPr>
            <w:tcW w:w="3197" w:type="dxa"/>
            <w:tcBorders>
              <w:bottom w:val="single" w:sz="4" w:space="0" w:color="608FFC" w:themeColor="text1" w:themeTint="66"/>
            </w:tcBorders>
            <w:noWrap/>
            <w:vAlign w:val="center"/>
          </w:tcPr>
          <w:p w14:paraId="79E441CD" w14:textId="6C6C9D4B" w:rsidR="00C4502F" w:rsidRPr="00343D62"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tcBorders>
              <w:bottom w:val="single" w:sz="4" w:space="0" w:color="608FFC" w:themeColor="text1" w:themeTint="66"/>
            </w:tcBorders>
            <w:vAlign w:val="center"/>
          </w:tcPr>
          <w:p w14:paraId="44BD3FF2" w14:textId="1C85D64F" w:rsidR="00C4502F"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The combination of the Primary Service Area and Secondary Service Area</w:t>
            </w:r>
            <w:r w:rsidR="009A57B2">
              <w:rPr>
                <w:rFonts w:ascii="Verdana" w:eastAsia="Times New Roman" w:hAnsi="Verdana" w:cs="Calibri"/>
                <w:color w:val="000000" w:themeColor="text2"/>
              </w:rPr>
              <w:t>,</w:t>
            </w:r>
            <w:r w:rsidRPr="301927C4">
              <w:rPr>
                <w:rFonts w:ascii="Verdana" w:eastAsia="Times New Roman" w:hAnsi="Verdana" w:cs="Calibri"/>
                <w:color w:val="000000" w:themeColor="text2"/>
              </w:rPr>
              <w:t xml:space="preserve"> as defined by the Applicant in the </w:t>
            </w:r>
            <w:r w:rsidR="009A57B2">
              <w:rPr>
                <w:rFonts w:ascii="Verdana" w:eastAsia="Times New Roman" w:hAnsi="Verdana" w:cs="Calibri"/>
                <w:color w:val="000000" w:themeColor="text2"/>
              </w:rPr>
              <w:t>A</w:t>
            </w:r>
            <w:r w:rsidR="009A57B2" w:rsidRPr="301927C4">
              <w:rPr>
                <w:rFonts w:ascii="Verdana" w:eastAsia="Times New Roman" w:hAnsi="Verdana" w:cs="Calibri"/>
                <w:color w:val="000000" w:themeColor="text2"/>
              </w:rPr>
              <w:t>pplication</w:t>
            </w:r>
            <w:r w:rsidRPr="301927C4">
              <w:rPr>
                <w:rFonts w:ascii="Verdana" w:eastAsia="Times New Roman" w:hAnsi="Verdana" w:cs="Calibri"/>
                <w:color w:val="000000" w:themeColor="text2"/>
              </w:rPr>
              <w:t>.</w:t>
            </w:r>
          </w:p>
        </w:tc>
      </w:tr>
      <w:tr w:rsidR="00C4502F" w:rsidRPr="00D10E9D" w14:paraId="2A2E30CC" w14:textId="77777777" w:rsidTr="00E34802">
        <w:trPr>
          <w:cantSplit/>
          <w:trHeight w:val="775"/>
        </w:trPr>
        <w:tc>
          <w:tcPr>
            <w:cnfStyle w:val="001000000000" w:firstRow="0" w:lastRow="0" w:firstColumn="1" w:lastColumn="0" w:oddVBand="0" w:evenVBand="0" w:oddHBand="0" w:evenHBand="0" w:firstRowFirstColumn="0" w:firstRowLastColumn="0" w:lastRowFirstColumn="0" w:lastRowLastColumn="0"/>
            <w:tcW w:w="4937" w:type="dxa"/>
            <w:tcBorders>
              <w:top w:val="single" w:sz="4" w:space="0" w:color="608FFC" w:themeColor="text1" w:themeTint="66"/>
            </w:tcBorders>
            <w:vAlign w:val="center"/>
            <w:hideMark/>
          </w:tcPr>
          <w:p w14:paraId="37510FE3" w14:textId="4C65EF96" w:rsidR="00C4502F" w:rsidRPr="003B776C" w:rsidRDefault="00C4502F" w:rsidP="00E34802">
            <w:pPr>
              <w:spacing w:after="120" w:line="276" w:lineRule="auto"/>
              <w:rPr>
                <w:rFonts w:ascii="Verdana" w:eastAsia="Times New Roman" w:hAnsi="Verdana" w:cs="Calibri"/>
                <w:color w:val="000000"/>
              </w:rPr>
            </w:pPr>
            <w:r w:rsidRPr="003B5EBB">
              <w:rPr>
                <w:rFonts w:ascii="Verdana" w:eastAsia="Times New Roman" w:hAnsi="Verdana" w:cs="Calibri"/>
                <w:color w:val="000000" w:themeColor="text2"/>
              </w:rPr>
              <w:t>Medicare Cost Report</w:t>
            </w:r>
          </w:p>
        </w:tc>
        <w:tc>
          <w:tcPr>
            <w:tcW w:w="3197" w:type="dxa"/>
            <w:tcBorders>
              <w:top w:val="single" w:sz="4" w:space="0" w:color="608FFC" w:themeColor="text1" w:themeTint="66"/>
            </w:tcBorders>
            <w:noWrap/>
            <w:vAlign w:val="center"/>
            <w:hideMark/>
          </w:tcPr>
          <w:p w14:paraId="3BDB3C79" w14:textId="77777777" w:rsidR="00C4502F" w:rsidRPr="00343D62"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tcBorders>
              <w:top w:val="single" w:sz="4" w:space="0" w:color="608FFC" w:themeColor="text1" w:themeTint="66"/>
            </w:tcBorders>
            <w:vAlign w:val="center"/>
            <w:hideMark/>
          </w:tcPr>
          <w:p w14:paraId="6F65A9C0" w14:textId="0BB79788" w:rsidR="00C4502F" w:rsidRPr="004A3F1D"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CMS 2552-10 report containing provider information such as facility characteristics, utilization, cost</w:t>
            </w:r>
            <w:r w:rsidR="003B5EBB">
              <w:rPr>
                <w:rFonts w:ascii="Verdana" w:eastAsia="Times New Roman" w:hAnsi="Verdana" w:cs="Calibri"/>
                <w:color w:val="000000" w:themeColor="text2"/>
              </w:rPr>
              <w:t xml:space="preserve">, </w:t>
            </w:r>
            <w:r w:rsidRPr="301927C4">
              <w:rPr>
                <w:rFonts w:ascii="Verdana" w:eastAsia="Times New Roman" w:hAnsi="Verdana" w:cs="Calibri"/>
                <w:color w:val="000000" w:themeColor="text2"/>
              </w:rPr>
              <w:t>and charges by cost center</w:t>
            </w:r>
            <w:r w:rsidR="003B5EBB">
              <w:rPr>
                <w:rFonts w:ascii="Verdana" w:eastAsia="Times New Roman" w:hAnsi="Verdana" w:cs="Calibri"/>
                <w:color w:val="000000" w:themeColor="text2"/>
              </w:rPr>
              <w:t>.</w:t>
            </w:r>
          </w:p>
        </w:tc>
      </w:tr>
      <w:tr w:rsidR="00C4502F" w:rsidRPr="00D10E9D" w14:paraId="07A5B099" w14:textId="77777777" w:rsidTr="00E34802">
        <w:trPr>
          <w:cantSplit/>
          <w:trHeight w:val="516"/>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03E2ED80" w14:textId="47EA2FC5"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Merged Hospital</w:t>
            </w:r>
          </w:p>
        </w:tc>
        <w:tc>
          <w:tcPr>
            <w:tcW w:w="3197" w:type="dxa"/>
            <w:noWrap/>
            <w:vAlign w:val="center"/>
          </w:tcPr>
          <w:p w14:paraId="33BE0D2F" w14:textId="77777777" w:rsidR="00C4502F" w:rsidRPr="004A3F1D"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1D0C9B12" w14:textId="3A6EACD6" w:rsidR="00C4502F" w:rsidRDefault="00C4502F" w:rsidP="007D284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007D284E">
              <w:rPr>
                <w:rFonts w:ascii="Verdana" w:hAnsi="Verdana"/>
                <w:color w:val="000000"/>
              </w:rPr>
              <w:t xml:space="preserve">The </w:t>
            </w:r>
            <w:r w:rsidR="00D71EC4" w:rsidRPr="00D22BDD">
              <w:rPr>
                <w:rFonts w:ascii="Verdana" w:eastAsia="Times New Roman" w:hAnsi="Verdana" w:cs="Calibri"/>
                <w:color w:val="000000"/>
              </w:rPr>
              <w:t>hospitals</w:t>
            </w:r>
            <w:r w:rsidRPr="007D284E">
              <w:rPr>
                <w:rFonts w:ascii="Verdana" w:hAnsi="Verdana"/>
                <w:color w:val="000000"/>
              </w:rPr>
              <w:t xml:space="preserve"> party to the merger agreement and all operations licensed under the consolidated provider</w:t>
            </w:r>
            <w:r w:rsidR="00D71EC4" w:rsidRPr="00D22BDD">
              <w:rPr>
                <w:rFonts w:ascii="Verdana" w:eastAsia="Times New Roman" w:hAnsi="Verdana" w:cs="Calibri"/>
                <w:color w:val="000000"/>
              </w:rPr>
              <w:t xml:space="preserve"> numbers or one of the two hospitals, if the provider number is not consolidated.</w:t>
            </w:r>
            <w:r w:rsidRPr="007D284E">
              <w:rPr>
                <w:rFonts w:ascii="Verdana" w:hAnsi="Verdana"/>
                <w:color w:val="000000"/>
              </w:rPr>
              <w:t xml:space="preserve"> The definition can expand as more entities are brought under a hospital license.</w:t>
            </w:r>
          </w:p>
        </w:tc>
      </w:tr>
      <w:tr w:rsidR="00C4502F" w:rsidRPr="00D10E9D" w14:paraId="0D4902D8" w14:textId="77777777" w:rsidTr="00E34802">
        <w:trPr>
          <w:cantSplit/>
          <w:trHeight w:val="516"/>
        </w:trPr>
        <w:tc>
          <w:tcPr>
            <w:cnfStyle w:val="001000000000" w:firstRow="0" w:lastRow="0" w:firstColumn="1" w:lastColumn="0" w:oddVBand="0" w:evenVBand="0" w:oddHBand="0" w:evenHBand="0" w:firstRowFirstColumn="0" w:firstRowLastColumn="0" w:lastRowFirstColumn="0" w:lastRowLastColumn="0"/>
            <w:tcW w:w="4937" w:type="dxa"/>
            <w:vAlign w:val="center"/>
            <w:hideMark/>
          </w:tcPr>
          <w:p w14:paraId="4912DA4D" w14:textId="4F06D548"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Net Income</w:t>
            </w:r>
          </w:p>
        </w:tc>
        <w:tc>
          <w:tcPr>
            <w:tcW w:w="3197" w:type="dxa"/>
            <w:noWrap/>
            <w:vAlign w:val="center"/>
            <w:hideMark/>
          </w:tcPr>
          <w:p w14:paraId="734D8DCB" w14:textId="68768B9D" w:rsidR="00C4502F" w:rsidRPr="004A3F1D"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hideMark/>
          </w:tcPr>
          <w:p w14:paraId="641B7AF5" w14:textId="79B4482A" w:rsidR="00C4502F" w:rsidRPr="00382068"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 xml:space="preserve">For the purpose of the Initial Application and all Rate </w:t>
            </w:r>
            <w:r w:rsidR="003B5EBB">
              <w:rPr>
                <w:rFonts w:ascii="Verdana" w:eastAsia="Times New Roman" w:hAnsi="Verdana" w:cs="Calibri"/>
                <w:color w:val="000000" w:themeColor="text2"/>
              </w:rPr>
              <w:t>Change Applications</w:t>
            </w:r>
            <w:r w:rsidRPr="301927C4">
              <w:rPr>
                <w:rFonts w:ascii="Verdana" w:eastAsia="Times New Roman" w:hAnsi="Verdana" w:cs="Calibri"/>
                <w:color w:val="000000" w:themeColor="text2"/>
              </w:rPr>
              <w:t>, net income is net revenue less expenses, including interest expense and depreciation but before investment income.</w:t>
            </w:r>
          </w:p>
        </w:tc>
      </w:tr>
      <w:tr w:rsidR="00C4502F" w:rsidRPr="00D10E9D" w14:paraId="3B332DFB" w14:textId="77777777" w:rsidTr="00E34802">
        <w:trPr>
          <w:cantSplit/>
          <w:trHeight w:val="516"/>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44FEBE62" w14:textId="53DE5C11"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Net Revenue</w:t>
            </w:r>
          </w:p>
        </w:tc>
        <w:tc>
          <w:tcPr>
            <w:tcW w:w="3197" w:type="dxa"/>
            <w:noWrap/>
            <w:vAlign w:val="center"/>
          </w:tcPr>
          <w:p w14:paraId="7BDA8BFE" w14:textId="77777777" w:rsidR="00C4502F" w:rsidRPr="00382068"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6FEEE77A" w14:textId="14417CC1" w:rsidR="00C4502F" w:rsidRPr="00D25525"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pPr>
            <w:r w:rsidRPr="301927C4">
              <w:rPr>
                <w:rFonts w:ascii="Verdana" w:eastAsia="Times New Roman" w:hAnsi="Verdana" w:cs="Calibri"/>
                <w:color w:val="000000" w:themeColor="text2"/>
              </w:rPr>
              <w:t>The amount expected to be collected from all sources, patient revenues after discounts, contractual adjustments, and bad debts, as well as other revenue, including but not limited to rent, cafeteria sales, and parking fees.</w:t>
            </w:r>
          </w:p>
        </w:tc>
      </w:tr>
      <w:tr w:rsidR="00C4502F" w:rsidRPr="00D10E9D" w14:paraId="4EB4A7E2" w14:textId="77777777" w:rsidTr="00E34802">
        <w:trPr>
          <w:cantSplit/>
          <w:trHeight w:val="516"/>
        </w:trPr>
        <w:tc>
          <w:tcPr>
            <w:cnfStyle w:val="001000000000" w:firstRow="0" w:lastRow="0" w:firstColumn="1" w:lastColumn="0" w:oddVBand="0" w:evenVBand="0" w:oddHBand="0" w:evenHBand="0" w:firstRowFirstColumn="0" w:firstRowLastColumn="0" w:lastRowFirstColumn="0" w:lastRowLastColumn="0"/>
            <w:tcW w:w="4937" w:type="dxa"/>
            <w:vAlign w:val="center"/>
            <w:hideMark/>
          </w:tcPr>
          <w:p w14:paraId="3577B6FF" w14:textId="1B327DD2" w:rsidR="00C4502F" w:rsidRPr="003B776C" w:rsidRDefault="00C4502F" w:rsidP="00E34802">
            <w:pPr>
              <w:spacing w:after="120" w:line="276" w:lineRule="auto"/>
              <w:rPr>
                <w:rFonts w:ascii="Verdana" w:eastAsia="Times New Roman" w:hAnsi="Verdana" w:cs="Calibri"/>
                <w:color w:val="000000"/>
              </w:rPr>
            </w:pPr>
            <w:r w:rsidRPr="003B5EBB">
              <w:rPr>
                <w:rFonts w:ascii="Verdana" w:eastAsia="Times New Roman" w:hAnsi="Verdana" w:cs="Calibri"/>
                <w:color w:val="000000" w:themeColor="text2"/>
              </w:rPr>
              <w:t>Payor</w:t>
            </w:r>
          </w:p>
        </w:tc>
        <w:tc>
          <w:tcPr>
            <w:tcW w:w="3197" w:type="dxa"/>
            <w:noWrap/>
            <w:vAlign w:val="center"/>
            <w:hideMark/>
          </w:tcPr>
          <w:p w14:paraId="4CB4330C" w14:textId="77777777" w:rsidR="00C4502F" w:rsidRPr="00382068"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hideMark/>
          </w:tcPr>
          <w:p w14:paraId="69BE9059" w14:textId="1D3CED43" w:rsidR="00C4502F" w:rsidRPr="00382068"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Person or organization responsible for settling a claim or financial obligation related to healthcare services.</w:t>
            </w:r>
          </w:p>
        </w:tc>
      </w:tr>
      <w:tr w:rsidR="00C4502F" w:rsidRPr="00D10E9D" w14:paraId="7B6BFE59" w14:textId="77777777" w:rsidTr="00E34802">
        <w:trPr>
          <w:cantSplit/>
          <w:trHeight w:val="516"/>
        </w:trPr>
        <w:tc>
          <w:tcPr>
            <w:cnfStyle w:val="001000000000" w:firstRow="0" w:lastRow="0" w:firstColumn="1" w:lastColumn="0" w:oddVBand="0" w:evenVBand="0" w:oddHBand="0" w:evenHBand="0" w:firstRowFirstColumn="0" w:firstRowLastColumn="0" w:lastRowFirstColumn="0" w:lastRowLastColumn="0"/>
            <w:tcW w:w="4937" w:type="dxa"/>
            <w:vAlign w:val="center"/>
            <w:hideMark/>
          </w:tcPr>
          <w:p w14:paraId="0399651E" w14:textId="430C4157" w:rsidR="00C4502F" w:rsidRPr="003B776C" w:rsidRDefault="00C4502F" w:rsidP="00E34802">
            <w:pPr>
              <w:spacing w:after="120" w:line="276" w:lineRule="auto"/>
              <w:rPr>
                <w:rFonts w:ascii="Verdana" w:eastAsia="Times New Roman" w:hAnsi="Verdana" w:cs="Calibri"/>
                <w:color w:val="000000"/>
              </w:rPr>
            </w:pPr>
            <w:r w:rsidRPr="003B5EBB">
              <w:rPr>
                <w:rFonts w:ascii="Verdana" w:eastAsia="Times New Roman" w:hAnsi="Verdana" w:cs="Calibri"/>
                <w:color w:val="000000" w:themeColor="text2"/>
              </w:rPr>
              <w:t>Payor Mix</w:t>
            </w:r>
          </w:p>
        </w:tc>
        <w:tc>
          <w:tcPr>
            <w:tcW w:w="3197" w:type="dxa"/>
            <w:noWrap/>
            <w:vAlign w:val="center"/>
            <w:hideMark/>
          </w:tcPr>
          <w:p w14:paraId="2EC8E579" w14:textId="77777777" w:rsidR="00C4502F" w:rsidRPr="00382068"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hideMark/>
          </w:tcPr>
          <w:p w14:paraId="76357239" w14:textId="14E40596" w:rsidR="00C4502F" w:rsidRPr="00382068" w:rsidRDefault="00CD127C"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Pr>
                <w:rFonts w:ascii="Verdana" w:eastAsia="Times New Roman" w:hAnsi="Verdana" w:cs="Calibri"/>
                <w:color w:val="000000" w:themeColor="text2"/>
              </w:rPr>
              <w:t>Percentage</w:t>
            </w:r>
            <w:r w:rsidRPr="00CD127C">
              <w:rPr>
                <w:rFonts w:ascii="Verdana" w:eastAsia="Times New Roman" w:hAnsi="Verdana" w:cs="Calibri"/>
                <w:color w:val="000000" w:themeColor="text2"/>
              </w:rPr>
              <w:t xml:space="preserve"> of hospital revenue </w:t>
            </w:r>
            <w:r w:rsidR="00E34802">
              <w:rPr>
                <w:rFonts w:ascii="Verdana" w:eastAsia="Times New Roman" w:hAnsi="Verdana" w:cs="Calibri"/>
                <w:color w:val="000000" w:themeColor="text2"/>
              </w:rPr>
              <w:t xml:space="preserve">that comes </w:t>
            </w:r>
            <w:r w:rsidRPr="00CD127C">
              <w:rPr>
                <w:rFonts w:ascii="Verdana" w:eastAsia="Times New Roman" w:hAnsi="Verdana" w:cs="Calibri"/>
                <w:color w:val="000000" w:themeColor="text2"/>
              </w:rPr>
              <w:t>from</w:t>
            </w:r>
            <w:r w:rsidR="00C52E78">
              <w:rPr>
                <w:rFonts w:ascii="Verdana" w:eastAsia="Times New Roman" w:hAnsi="Verdana" w:cs="Calibri"/>
                <w:color w:val="000000" w:themeColor="text2"/>
              </w:rPr>
              <w:t xml:space="preserve"> </w:t>
            </w:r>
            <w:r w:rsidRPr="00CD127C">
              <w:rPr>
                <w:rFonts w:ascii="Verdana" w:eastAsia="Times New Roman" w:hAnsi="Verdana" w:cs="Calibri"/>
                <w:color w:val="000000" w:themeColor="text2"/>
              </w:rPr>
              <w:t>insurance companies</w:t>
            </w:r>
            <w:r w:rsidR="00C52E78">
              <w:rPr>
                <w:rFonts w:ascii="Verdana" w:eastAsia="Times New Roman" w:hAnsi="Verdana" w:cs="Calibri"/>
                <w:color w:val="000000" w:themeColor="text2"/>
              </w:rPr>
              <w:t>, private pay</w:t>
            </w:r>
            <w:r w:rsidR="00ED6B25">
              <w:rPr>
                <w:rFonts w:ascii="Verdana" w:eastAsia="Times New Roman" w:hAnsi="Verdana" w:cs="Calibri"/>
                <w:color w:val="000000" w:themeColor="text2"/>
              </w:rPr>
              <w:t>,</w:t>
            </w:r>
            <w:r w:rsidR="00C52E78">
              <w:rPr>
                <w:rFonts w:ascii="Verdana" w:eastAsia="Times New Roman" w:hAnsi="Verdana" w:cs="Calibri"/>
                <w:color w:val="000000" w:themeColor="text2"/>
              </w:rPr>
              <w:t xml:space="preserve"> or</w:t>
            </w:r>
            <w:r w:rsidRPr="00CD127C">
              <w:rPr>
                <w:rFonts w:ascii="Verdana" w:eastAsia="Times New Roman" w:hAnsi="Verdana" w:cs="Calibri"/>
                <w:color w:val="000000" w:themeColor="text2"/>
              </w:rPr>
              <w:t xml:space="preserve"> government insurance programs like Medicare and Medicaid.</w:t>
            </w:r>
          </w:p>
        </w:tc>
      </w:tr>
      <w:tr w:rsidR="00C4502F" w:rsidRPr="00D10E9D" w14:paraId="2E3B8AC7" w14:textId="77777777" w:rsidTr="00E34802">
        <w:trPr>
          <w:cantSplit/>
          <w:trHeight w:val="387"/>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79099018" w14:textId="56A71B04"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Primary Service Area</w:t>
            </w:r>
          </w:p>
        </w:tc>
        <w:tc>
          <w:tcPr>
            <w:tcW w:w="3197" w:type="dxa"/>
            <w:noWrap/>
            <w:vAlign w:val="center"/>
          </w:tcPr>
          <w:p w14:paraId="7EE9DAFB" w14:textId="63C45BC4" w:rsidR="00C4502F" w:rsidRPr="00D22BDD"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PSA</w:t>
            </w:r>
          </w:p>
        </w:tc>
        <w:tc>
          <w:tcPr>
            <w:tcW w:w="6093" w:type="dxa"/>
            <w:vAlign w:val="center"/>
          </w:tcPr>
          <w:p w14:paraId="22122C55" w14:textId="2F5BB794" w:rsidR="00C4502F" w:rsidRPr="00D22BDD"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The immediate area of service for the hospitals included in a COPA application, most often the county in which the hospitals are located but may include parts of bordering counties. Definitions for each application are to be provided by the Applicant.</w:t>
            </w:r>
          </w:p>
        </w:tc>
      </w:tr>
      <w:tr w:rsidR="00C4502F" w:rsidRPr="00D10E9D" w14:paraId="79DD2BB6" w14:textId="77777777" w:rsidTr="00E34802">
        <w:trPr>
          <w:cantSplit/>
          <w:trHeight w:val="775"/>
        </w:trPr>
        <w:tc>
          <w:tcPr>
            <w:cnfStyle w:val="001000000000" w:firstRow="0" w:lastRow="0" w:firstColumn="1" w:lastColumn="0" w:oddVBand="0" w:evenVBand="0" w:oddHBand="0" w:evenHBand="0" w:firstRowFirstColumn="0" w:firstRowLastColumn="0" w:lastRowFirstColumn="0" w:lastRowLastColumn="0"/>
            <w:tcW w:w="4937" w:type="dxa"/>
            <w:vAlign w:val="center"/>
            <w:hideMark/>
          </w:tcPr>
          <w:p w14:paraId="3D47BC3A" w14:textId="0742DF99" w:rsidR="00C4502F" w:rsidRPr="003B776C" w:rsidRDefault="00C4502F" w:rsidP="00E34802">
            <w:pPr>
              <w:spacing w:after="120" w:line="276" w:lineRule="auto"/>
              <w:rPr>
                <w:rFonts w:ascii="Verdana" w:eastAsia="Times New Roman" w:hAnsi="Verdana" w:cs="Calibri"/>
                <w:color w:val="000000"/>
              </w:rPr>
            </w:pPr>
            <w:r w:rsidRPr="003B5EBB">
              <w:rPr>
                <w:rFonts w:ascii="Verdana" w:eastAsia="Times New Roman" w:hAnsi="Verdana" w:cs="Calibri"/>
                <w:color w:val="000000" w:themeColor="text2"/>
              </w:rPr>
              <w:t>Ratio of Costs to Charges</w:t>
            </w:r>
          </w:p>
        </w:tc>
        <w:tc>
          <w:tcPr>
            <w:tcW w:w="3197" w:type="dxa"/>
            <w:noWrap/>
            <w:vAlign w:val="center"/>
            <w:hideMark/>
          </w:tcPr>
          <w:p w14:paraId="040CBEF0" w14:textId="319DC10F" w:rsidR="00C4502F" w:rsidRPr="00D22BDD"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RCC</w:t>
            </w:r>
          </w:p>
        </w:tc>
        <w:tc>
          <w:tcPr>
            <w:tcW w:w="6093" w:type="dxa"/>
            <w:vAlign w:val="center"/>
            <w:hideMark/>
          </w:tcPr>
          <w:p w14:paraId="60FA3557" w14:textId="6C9E7CD5" w:rsidR="00C4502F" w:rsidRPr="00D22BDD" w:rsidRDefault="00ED6B25"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Pr>
                <w:rFonts w:ascii="Verdana" w:eastAsia="Times New Roman" w:hAnsi="Verdana" w:cs="Calibri"/>
                <w:color w:val="000000" w:themeColor="text2"/>
              </w:rPr>
              <w:t>The total</w:t>
            </w:r>
            <w:r w:rsidRPr="301927C4">
              <w:rPr>
                <w:rFonts w:ascii="Verdana" w:eastAsia="Times New Roman" w:hAnsi="Verdana" w:cs="Calibri"/>
                <w:color w:val="000000" w:themeColor="text2"/>
              </w:rPr>
              <w:t xml:space="preserve"> </w:t>
            </w:r>
            <w:r w:rsidR="42193822" w:rsidRPr="301927C4">
              <w:rPr>
                <w:rFonts w:ascii="Verdana" w:eastAsia="Times New Roman" w:hAnsi="Verdana" w:cs="Calibri"/>
                <w:color w:val="000000" w:themeColor="text2"/>
              </w:rPr>
              <w:t>amount of</w:t>
            </w:r>
            <w:r w:rsidR="00A81B83">
              <w:rPr>
                <w:rFonts w:ascii="Verdana" w:eastAsia="Times New Roman" w:hAnsi="Verdana" w:cs="Calibri"/>
                <w:color w:val="000000" w:themeColor="text2"/>
              </w:rPr>
              <w:t xml:space="preserve"> </w:t>
            </w:r>
            <w:r w:rsidR="00211D58">
              <w:rPr>
                <w:rFonts w:ascii="Verdana" w:eastAsia="Times New Roman" w:hAnsi="Verdana" w:cs="Calibri"/>
                <w:color w:val="000000" w:themeColor="text2"/>
              </w:rPr>
              <w:t xml:space="preserve">hospital </w:t>
            </w:r>
            <w:r w:rsidR="00A81B83">
              <w:rPr>
                <w:rFonts w:ascii="Verdana" w:eastAsia="Times New Roman" w:hAnsi="Verdana" w:cs="Calibri"/>
                <w:color w:val="000000" w:themeColor="text2"/>
              </w:rPr>
              <w:t>costs</w:t>
            </w:r>
            <w:r w:rsidR="42193822" w:rsidRPr="301927C4">
              <w:rPr>
                <w:rFonts w:ascii="Verdana" w:eastAsia="Times New Roman" w:hAnsi="Verdana" w:cs="Calibri"/>
                <w:color w:val="000000" w:themeColor="text2"/>
              </w:rPr>
              <w:t xml:space="preserve"> </w:t>
            </w:r>
            <w:r w:rsidR="00211D58">
              <w:rPr>
                <w:rFonts w:ascii="Verdana" w:eastAsia="Times New Roman" w:hAnsi="Verdana" w:cs="Calibri"/>
                <w:color w:val="000000" w:themeColor="text2"/>
              </w:rPr>
              <w:t>related to patient care</w:t>
            </w:r>
            <w:r w:rsidR="42193822" w:rsidRPr="301927C4">
              <w:rPr>
                <w:rFonts w:ascii="Verdana" w:eastAsia="Times New Roman" w:hAnsi="Verdana" w:cs="Calibri"/>
                <w:color w:val="000000" w:themeColor="text2"/>
              </w:rPr>
              <w:t xml:space="preserve"> divided by the sum of </w:t>
            </w:r>
            <w:r w:rsidR="00F31642">
              <w:rPr>
                <w:rFonts w:ascii="Verdana" w:eastAsia="Times New Roman" w:hAnsi="Verdana" w:cs="Calibri"/>
                <w:color w:val="000000" w:themeColor="text2"/>
              </w:rPr>
              <w:t>hospital charges</w:t>
            </w:r>
            <w:r w:rsidR="009305A1">
              <w:rPr>
                <w:rFonts w:ascii="Verdana" w:eastAsia="Times New Roman" w:hAnsi="Verdana" w:cs="Calibri"/>
                <w:color w:val="000000" w:themeColor="text2"/>
              </w:rPr>
              <w:t>.</w:t>
            </w:r>
          </w:p>
        </w:tc>
      </w:tr>
      <w:tr w:rsidR="00C4502F" w:rsidRPr="00D10E9D" w14:paraId="0D4CB184" w14:textId="77777777" w:rsidTr="00E34802">
        <w:trPr>
          <w:cantSplit/>
          <w:trHeight w:val="516"/>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34E2CE8B" w14:textId="41C8894F"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Rates</w:t>
            </w:r>
          </w:p>
        </w:tc>
        <w:tc>
          <w:tcPr>
            <w:tcW w:w="3197" w:type="dxa"/>
            <w:noWrap/>
            <w:vAlign w:val="center"/>
          </w:tcPr>
          <w:p w14:paraId="7C1A73D9" w14:textId="454871B8" w:rsidR="00C4502F" w:rsidRPr="00D22BDD"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3F67D46A" w14:textId="0E5A4926" w:rsidR="00C4502F" w:rsidRPr="00B63262" w:rsidRDefault="00D71EC4"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Pr>
                <w:rFonts w:ascii="Verdana" w:eastAsia="Times New Roman" w:hAnsi="Verdana" w:cs="Calibri"/>
                <w:color w:val="000000" w:themeColor="text2"/>
              </w:rPr>
              <w:t>T</w:t>
            </w:r>
            <w:r w:rsidR="00C4502F" w:rsidRPr="301927C4">
              <w:rPr>
                <w:rFonts w:ascii="Verdana" w:eastAsia="Times New Roman" w:hAnsi="Verdana" w:cs="Calibri"/>
                <w:color w:val="000000" w:themeColor="text2"/>
              </w:rPr>
              <w:t>he standard charge made by a hospital or other provider before discounts or contractual adjustments based on an agreed or regulated payment amount for the service. Also commonly referred to as billed charges or gross charges.</w:t>
            </w:r>
          </w:p>
        </w:tc>
      </w:tr>
      <w:tr w:rsidR="00C4502F" w:rsidRPr="00D10E9D" w14:paraId="064D7904" w14:textId="77777777" w:rsidTr="00E34802">
        <w:trPr>
          <w:cantSplit/>
          <w:trHeight w:val="516"/>
        </w:trPr>
        <w:tc>
          <w:tcPr>
            <w:cnfStyle w:val="001000000000" w:firstRow="0" w:lastRow="0" w:firstColumn="1" w:lastColumn="0" w:oddVBand="0" w:evenVBand="0" w:oddHBand="0" w:evenHBand="0" w:firstRowFirstColumn="0" w:firstRowLastColumn="0" w:lastRowFirstColumn="0" w:lastRowLastColumn="0"/>
            <w:tcW w:w="4937" w:type="dxa"/>
            <w:vAlign w:val="center"/>
            <w:hideMark/>
          </w:tcPr>
          <w:p w14:paraId="5242CF65" w14:textId="6BFBE28A"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Secondary Service Area</w:t>
            </w:r>
          </w:p>
        </w:tc>
        <w:tc>
          <w:tcPr>
            <w:tcW w:w="3197" w:type="dxa"/>
            <w:noWrap/>
            <w:vAlign w:val="center"/>
            <w:hideMark/>
          </w:tcPr>
          <w:p w14:paraId="681B499A" w14:textId="392EC989" w:rsidR="00C4502F" w:rsidRPr="008F4AE0"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SSA</w:t>
            </w:r>
          </w:p>
        </w:tc>
        <w:tc>
          <w:tcPr>
            <w:tcW w:w="6093" w:type="dxa"/>
            <w:vAlign w:val="center"/>
            <w:hideMark/>
          </w:tcPr>
          <w:p w14:paraId="24AC6FE5" w14:textId="371EA0E3" w:rsidR="00C4502F" w:rsidRPr="00592D24"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The area of service for the hospitals included in a COPA application surrounding the PSA and from which the hospitals draw most patients outside the PSA. The shape and size of the SSA is often dependent on road systems, historical employment, retail pattern</w:t>
            </w:r>
            <w:r w:rsidR="00ED6B25">
              <w:rPr>
                <w:rFonts w:ascii="Verdana" w:eastAsia="Times New Roman" w:hAnsi="Verdana" w:cs="Calibri"/>
                <w:color w:val="000000" w:themeColor="text2"/>
              </w:rPr>
              <w:t>,</w:t>
            </w:r>
            <w:r w:rsidRPr="301927C4">
              <w:rPr>
                <w:rFonts w:ascii="Verdana" w:eastAsia="Times New Roman" w:hAnsi="Verdana" w:cs="Calibri"/>
                <w:color w:val="000000" w:themeColor="text2"/>
              </w:rPr>
              <w:t xml:space="preserve"> and long-standing physician referral patterns. Definitions for each application are to be provided by the Applicant.</w:t>
            </w:r>
          </w:p>
        </w:tc>
      </w:tr>
      <w:tr w:rsidR="00C4502F" w:rsidRPr="00D10E9D" w14:paraId="63848CAD" w14:textId="77777777" w:rsidTr="00E34802">
        <w:trPr>
          <w:cantSplit/>
          <w:trHeight w:val="516"/>
        </w:trPr>
        <w:tc>
          <w:tcPr>
            <w:cnfStyle w:val="001000000000" w:firstRow="0" w:lastRow="0" w:firstColumn="1" w:lastColumn="0" w:oddVBand="0" w:evenVBand="0" w:oddHBand="0" w:evenHBand="0" w:firstRowFirstColumn="0" w:firstRowLastColumn="0" w:lastRowFirstColumn="0" w:lastRowLastColumn="0"/>
            <w:tcW w:w="4937" w:type="dxa"/>
            <w:vAlign w:val="center"/>
            <w:hideMark/>
          </w:tcPr>
          <w:p w14:paraId="6528333E" w14:textId="3D1E74AF"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Shoppable Services</w:t>
            </w:r>
          </w:p>
        </w:tc>
        <w:tc>
          <w:tcPr>
            <w:tcW w:w="3197" w:type="dxa"/>
            <w:noWrap/>
            <w:vAlign w:val="center"/>
            <w:hideMark/>
          </w:tcPr>
          <w:p w14:paraId="5242B27B" w14:textId="546F37DD" w:rsidR="00C4502F" w:rsidRPr="00592D24"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hideMark/>
          </w:tcPr>
          <w:p w14:paraId="5A53FFAE" w14:textId="2D0EEEB8" w:rsidR="00C4502F" w:rsidRPr="00592D24"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The 70 or so services required by CMS plus an additional 230 common services for a total of 300 to be publicly available for consumers to compare prices. For the purpose of rate comparison, HHSC adds Emergency Room Visits at all levels and a variety of daily charges for room or other services.</w:t>
            </w:r>
          </w:p>
        </w:tc>
      </w:tr>
      <w:tr w:rsidR="00C4502F" w:rsidRPr="00D10E9D" w14:paraId="28EAE291" w14:textId="77777777" w:rsidTr="00E34802">
        <w:trPr>
          <w:cantSplit/>
          <w:trHeight w:val="258"/>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6F15BA36" w14:textId="19917372"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State Agency</w:t>
            </w:r>
          </w:p>
        </w:tc>
        <w:tc>
          <w:tcPr>
            <w:tcW w:w="3197" w:type="dxa"/>
            <w:noWrap/>
            <w:vAlign w:val="center"/>
          </w:tcPr>
          <w:p w14:paraId="2F95A301" w14:textId="60364BE4" w:rsidR="00C4502F" w:rsidRPr="00592D24"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54BB1A40" w14:textId="7155C4DB" w:rsidR="00C4502F" w:rsidRPr="00D477CF"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A department, commission, board, office, or other agency in the executive branch of state government created by the constitution or a statute of this state.</w:t>
            </w:r>
          </w:p>
        </w:tc>
      </w:tr>
      <w:tr w:rsidR="00C4502F" w:rsidRPr="00D10E9D" w14:paraId="74A7A47C" w14:textId="77777777" w:rsidTr="00E34802">
        <w:trPr>
          <w:cantSplit/>
          <w:trHeight w:val="504"/>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56029BEE" w14:textId="5580793A"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Terms and Conditions</w:t>
            </w:r>
          </w:p>
        </w:tc>
        <w:tc>
          <w:tcPr>
            <w:tcW w:w="3197" w:type="dxa"/>
            <w:noWrap/>
            <w:vAlign w:val="center"/>
          </w:tcPr>
          <w:p w14:paraId="3D24EFB3" w14:textId="77777777" w:rsidR="00C4502F" w:rsidRPr="00D477CF"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736B40F3" w14:textId="026DF8F4" w:rsidR="00C4502F" w:rsidRPr="00D477CF"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301927C4">
              <w:rPr>
                <w:rFonts w:ascii="Verdana" w:eastAsia="Times New Roman" w:hAnsi="Verdana" w:cs="Calibri"/>
                <w:color w:val="000000" w:themeColor="text2"/>
              </w:rPr>
              <w:t>Any actions or measures that HHSC may require as a condition for issuing a COPA or allowing continued operation under a COPA.</w:t>
            </w:r>
          </w:p>
        </w:tc>
      </w:tr>
      <w:tr w:rsidR="00C4502F" w:rsidRPr="00D10E9D" w14:paraId="3928AC2D" w14:textId="77777777" w:rsidTr="00E34802">
        <w:trPr>
          <w:cantSplit/>
          <w:trHeight w:val="258"/>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5E5E0CC6" w14:textId="39501AAC" w:rsidR="00C4502F" w:rsidRPr="003B776C" w:rsidRDefault="00C4502F" w:rsidP="00E34802">
            <w:pPr>
              <w:spacing w:after="120" w:line="276" w:lineRule="auto"/>
              <w:rPr>
                <w:rFonts w:ascii="Verdana" w:eastAsia="Times New Roman" w:hAnsi="Verdana" w:cs="Calibri"/>
                <w:color w:val="000000"/>
              </w:rPr>
            </w:pPr>
            <w:r w:rsidRPr="003B776C">
              <w:rPr>
                <w:rFonts w:ascii="Verdana" w:eastAsia="Times New Roman" w:hAnsi="Verdana" w:cs="Calibri"/>
                <w:color w:val="000000" w:themeColor="text2"/>
              </w:rPr>
              <w:t>Third Party Payor</w:t>
            </w:r>
          </w:p>
        </w:tc>
        <w:tc>
          <w:tcPr>
            <w:tcW w:w="3197" w:type="dxa"/>
            <w:noWrap/>
            <w:vAlign w:val="center"/>
          </w:tcPr>
          <w:p w14:paraId="591CFF24" w14:textId="7FA93C1D" w:rsidR="00C4502F" w:rsidRPr="005B38D2"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02595BF0" w14:textId="21A5CC95" w:rsidR="00C4502F" w:rsidRPr="005B38D2" w:rsidRDefault="0064779B"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Pr>
                <w:rFonts w:ascii="Verdana" w:eastAsia="Times New Roman" w:hAnsi="Verdana" w:cs="Calibri"/>
                <w:color w:val="000000"/>
              </w:rPr>
              <w:t>An entity that pays medical claims on behalf of the insured.</w:t>
            </w:r>
          </w:p>
        </w:tc>
      </w:tr>
      <w:tr w:rsidR="00C4502F" w:rsidRPr="00D10E9D" w14:paraId="2D4A3412" w14:textId="77777777" w:rsidTr="00E34802">
        <w:trPr>
          <w:cantSplit/>
          <w:trHeight w:val="516"/>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686217B5" w14:textId="3E10ED99" w:rsidR="00C4502F" w:rsidRPr="003B776C" w:rsidRDefault="00C4502F" w:rsidP="00E34802">
            <w:pPr>
              <w:spacing w:after="120" w:line="276" w:lineRule="auto"/>
              <w:rPr>
                <w:rFonts w:ascii="Verdana" w:eastAsia="Times New Roman" w:hAnsi="Verdana" w:cs="Calibri"/>
                <w:color w:val="000000"/>
              </w:rPr>
            </w:pPr>
            <w:r w:rsidRPr="003B5EBB">
              <w:rPr>
                <w:rFonts w:ascii="Verdana" w:eastAsia="Times New Roman" w:hAnsi="Verdana" w:cs="Calibri"/>
                <w:color w:val="000000" w:themeColor="text2"/>
              </w:rPr>
              <w:t>Underinsured</w:t>
            </w:r>
          </w:p>
        </w:tc>
        <w:tc>
          <w:tcPr>
            <w:tcW w:w="3197" w:type="dxa"/>
            <w:noWrap/>
            <w:vAlign w:val="center"/>
          </w:tcPr>
          <w:p w14:paraId="16347809" w14:textId="33966C07" w:rsidR="00C4502F" w:rsidRPr="005B38D2"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1891D2A1" w14:textId="168E8672" w:rsidR="00C4502F" w:rsidRPr="00134E83" w:rsidRDefault="001C2F88"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sidRPr="002C5A74">
              <w:t>A patient with l</w:t>
            </w:r>
            <w:r w:rsidR="42193822" w:rsidRPr="002C5A74">
              <w:t xml:space="preserve">imited </w:t>
            </w:r>
            <w:r w:rsidR="008B15AF" w:rsidRPr="002C5A74">
              <w:t xml:space="preserve">insurance </w:t>
            </w:r>
            <w:r w:rsidR="42193822" w:rsidRPr="002C5A74">
              <w:t>coverage</w:t>
            </w:r>
            <w:r w:rsidRPr="002C5A74">
              <w:t xml:space="preserve"> </w:t>
            </w:r>
            <w:r w:rsidR="00D71EC4" w:rsidRPr="00D71EC4">
              <w:t>that</w:t>
            </w:r>
            <w:r w:rsidR="00D71EC4">
              <w:t xml:space="preserve"> </w:t>
            </w:r>
            <w:r w:rsidR="42193822" w:rsidRPr="002C5A74">
              <w:t>does not cover the full range of expenses</w:t>
            </w:r>
            <w:r w:rsidR="009D78F8" w:rsidRPr="002C5A74">
              <w:t>.</w:t>
            </w:r>
          </w:p>
        </w:tc>
      </w:tr>
      <w:tr w:rsidR="00C4502F" w:rsidRPr="00D10E9D" w14:paraId="0AA51303" w14:textId="77777777" w:rsidTr="00E34802">
        <w:trPr>
          <w:cantSplit/>
          <w:trHeight w:val="516"/>
        </w:trPr>
        <w:tc>
          <w:tcPr>
            <w:cnfStyle w:val="001000000000" w:firstRow="0" w:lastRow="0" w:firstColumn="1" w:lastColumn="0" w:oddVBand="0" w:evenVBand="0" w:oddHBand="0" w:evenHBand="0" w:firstRowFirstColumn="0" w:firstRowLastColumn="0" w:lastRowFirstColumn="0" w:lastRowLastColumn="0"/>
            <w:tcW w:w="4937" w:type="dxa"/>
            <w:vAlign w:val="center"/>
          </w:tcPr>
          <w:p w14:paraId="12BC5841" w14:textId="36ED411E" w:rsidR="00C4502F" w:rsidRPr="003B776C" w:rsidRDefault="00C4502F" w:rsidP="00E34802">
            <w:pPr>
              <w:spacing w:after="120" w:line="276" w:lineRule="auto"/>
              <w:rPr>
                <w:rFonts w:ascii="Verdana" w:eastAsia="Times New Roman" w:hAnsi="Verdana" w:cs="Calibri"/>
                <w:color w:val="000000"/>
              </w:rPr>
            </w:pPr>
            <w:r w:rsidRPr="003B5EBB">
              <w:rPr>
                <w:rFonts w:ascii="Verdana" w:eastAsia="Times New Roman" w:hAnsi="Verdana" w:cs="Calibri"/>
                <w:color w:val="000000" w:themeColor="text2"/>
              </w:rPr>
              <w:t>Uninsured</w:t>
            </w:r>
          </w:p>
        </w:tc>
        <w:tc>
          <w:tcPr>
            <w:tcW w:w="3197" w:type="dxa"/>
            <w:noWrap/>
            <w:vAlign w:val="center"/>
          </w:tcPr>
          <w:p w14:paraId="5E92748D" w14:textId="77777777" w:rsidR="00C4502F" w:rsidRPr="00F31700"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tcPr>
          <w:p w14:paraId="3BB43013" w14:textId="7329204B" w:rsidR="00C4502F" w:rsidRPr="00F31700" w:rsidRDefault="009D78F8"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Pr>
                <w:rFonts w:ascii="Verdana" w:eastAsia="Times New Roman" w:hAnsi="Verdana" w:cs="Calibri"/>
                <w:color w:val="000000" w:themeColor="text2"/>
              </w:rPr>
              <w:t>A patient with no insurance coverage.</w:t>
            </w:r>
          </w:p>
        </w:tc>
      </w:tr>
      <w:tr w:rsidR="00C4502F" w:rsidRPr="00D10E9D" w14:paraId="632A7C91" w14:textId="77777777" w:rsidTr="00E34802">
        <w:trPr>
          <w:cantSplit/>
          <w:trHeight w:val="775"/>
        </w:trPr>
        <w:tc>
          <w:tcPr>
            <w:cnfStyle w:val="001000000000" w:firstRow="0" w:lastRow="0" w:firstColumn="1" w:lastColumn="0" w:oddVBand="0" w:evenVBand="0" w:oddHBand="0" w:evenHBand="0" w:firstRowFirstColumn="0" w:firstRowLastColumn="0" w:lastRowFirstColumn="0" w:lastRowLastColumn="0"/>
            <w:tcW w:w="4937" w:type="dxa"/>
            <w:vAlign w:val="center"/>
            <w:hideMark/>
          </w:tcPr>
          <w:p w14:paraId="79D6FFDA" w14:textId="491C243E" w:rsidR="00C4502F" w:rsidRPr="003B776C" w:rsidRDefault="00C4502F" w:rsidP="00E34802">
            <w:pPr>
              <w:spacing w:after="120" w:line="276" w:lineRule="auto"/>
              <w:rPr>
                <w:rFonts w:ascii="Verdana" w:eastAsia="Times New Roman" w:hAnsi="Verdana" w:cs="Calibri"/>
                <w:color w:val="000000"/>
              </w:rPr>
            </w:pPr>
            <w:r w:rsidRPr="003B5EBB">
              <w:rPr>
                <w:rFonts w:ascii="Verdana" w:eastAsia="Times New Roman" w:hAnsi="Verdana" w:cs="Calibri"/>
                <w:color w:val="000000" w:themeColor="text2"/>
              </w:rPr>
              <w:t>Unrestricted Cash Balance</w:t>
            </w:r>
          </w:p>
        </w:tc>
        <w:tc>
          <w:tcPr>
            <w:tcW w:w="3197" w:type="dxa"/>
            <w:noWrap/>
            <w:vAlign w:val="center"/>
            <w:hideMark/>
          </w:tcPr>
          <w:p w14:paraId="48223D04" w14:textId="6088ECE6" w:rsidR="00C4502F" w:rsidRPr="00147A3A" w:rsidRDefault="00C4502F"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p>
        </w:tc>
        <w:tc>
          <w:tcPr>
            <w:tcW w:w="6093" w:type="dxa"/>
            <w:vAlign w:val="center"/>
            <w:hideMark/>
          </w:tcPr>
          <w:p w14:paraId="63482E70" w14:textId="2ECBD900" w:rsidR="00C4502F" w:rsidRPr="00147A3A" w:rsidRDefault="00F37260" w:rsidP="00E34802">
            <w:pPr>
              <w:spacing w:after="12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rPr>
            </w:pPr>
            <w:r>
              <w:rPr>
                <w:rFonts w:ascii="Verdana" w:eastAsia="Times New Roman" w:hAnsi="Verdana" w:cs="Calibri"/>
                <w:color w:val="000000" w:themeColor="text2"/>
              </w:rPr>
              <w:t>Cash that is readily available to be used at the company’s discretion.</w:t>
            </w:r>
          </w:p>
        </w:tc>
      </w:tr>
    </w:tbl>
    <w:p w14:paraId="3DC4BC1D" w14:textId="1AFC0DBA" w:rsidR="00FC3734" w:rsidRDefault="00FC3734" w:rsidP="42193822">
      <w:pPr>
        <w:rPr>
          <w:sz w:val="20"/>
        </w:rPr>
      </w:pPr>
      <w:r>
        <w:br w:type="page"/>
      </w:r>
    </w:p>
    <w:p w14:paraId="15272018" w14:textId="3153FDAE" w:rsidR="00FC3734" w:rsidRDefault="0019359B" w:rsidP="0019359B">
      <w:pPr>
        <w:pStyle w:val="Heading3"/>
      </w:pPr>
      <w:r>
        <w:t xml:space="preserve">Appendix B – Rate Change Application Supplemental Information </w:t>
      </w:r>
    </w:p>
    <w:p w14:paraId="7E37C197" w14:textId="3C0AC5B3" w:rsidR="0019359B" w:rsidRDefault="0019359B" w:rsidP="0019359B">
      <w:pPr>
        <w:pStyle w:val="BodyTextafterheading"/>
      </w:pPr>
    </w:p>
    <w:p w14:paraId="044F4A02" w14:textId="189B0457" w:rsidR="0019359B" w:rsidRPr="00EA681B" w:rsidRDefault="0019359B" w:rsidP="00D25525">
      <w:pPr>
        <w:pStyle w:val="BodyText"/>
      </w:pPr>
      <w:r>
        <w:t>File Name – COPA Rate Change Application Supplemental Information</w:t>
      </w:r>
      <w:r w:rsidR="00A009CE">
        <w:t xml:space="preserve"> (Available on Texas HHSC Website)</w:t>
      </w:r>
    </w:p>
    <w:sectPr w:rsidR="0019359B" w:rsidRPr="00EA681B" w:rsidSect="00377587">
      <w:footnotePr>
        <w:numFmt w:val="lowerLetter"/>
      </w:footnotePr>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B8279" w14:textId="77777777" w:rsidR="00AD7CFE" w:rsidRDefault="00AD7CFE" w:rsidP="000E59DE">
      <w:r>
        <w:separator/>
      </w:r>
    </w:p>
    <w:p w14:paraId="3D29502C" w14:textId="77777777" w:rsidR="00AD7CFE" w:rsidRDefault="00AD7CFE" w:rsidP="000E59DE"/>
  </w:endnote>
  <w:endnote w:type="continuationSeparator" w:id="0">
    <w:p w14:paraId="07ECFF90" w14:textId="77777777" w:rsidR="00AD7CFE" w:rsidRDefault="00AD7CFE" w:rsidP="000E59DE">
      <w:r>
        <w:continuationSeparator/>
      </w:r>
    </w:p>
    <w:p w14:paraId="2A14F009" w14:textId="77777777" w:rsidR="00AD7CFE" w:rsidRDefault="00AD7CFE" w:rsidP="000E59DE"/>
  </w:endnote>
  <w:endnote w:type="continuationNotice" w:id="1">
    <w:p w14:paraId="178EFBD3" w14:textId="77777777" w:rsidR="00AD7CFE" w:rsidRPr="00BE23B2" w:rsidRDefault="00AD7CFE" w:rsidP="000E59DE"/>
    <w:p w14:paraId="635F8FBD" w14:textId="77777777" w:rsidR="00AD7CFE" w:rsidRDefault="00AD7CFE" w:rsidP="000E5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C4D0" w14:textId="77777777" w:rsidR="00FC3734" w:rsidRPr="00DC3247" w:rsidRDefault="00FC3734"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70862ADD" w14:textId="11760D53" w:rsidR="00FC3734" w:rsidRPr="0096447D" w:rsidRDefault="00FC3734" w:rsidP="00101F54">
    <w:pPr>
      <w:pBdr>
        <w:top w:val="single" w:sz="4" w:space="4" w:color="auto"/>
      </w:pBdr>
      <w:tabs>
        <w:tab w:val="center" w:pos="4680"/>
        <w:tab w:val="right" w:pos="9360"/>
      </w:tabs>
      <w:jc w:val="cente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96447D">
      <w:rPr>
        <w:sz w:val="20"/>
      </w:rPr>
      <w:t xml:space="preserve">Revised: </w:t>
    </w:r>
    <w:r w:rsidR="00A809BF">
      <w:rPr>
        <w:sz w:val="20"/>
      </w:rPr>
      <w:t>06</w:t>
    </w:r>
    <w:r w:rsidRPr="0096447D">
      <w:rPr>
        <w:sz w:val="20"/>
      </w:rPr>
      <w:t>/</w:t>
    </w:r>
    <w:r w:rsidR="00A809BF">
      <w:rPr>
        <w:sz w:val="20"/>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6AF6" w14:textId="4E8C06EE" w:rsidR="00FC3734" w:rsidRPr="00F43A80" w:rsidRDefault="00FC3734" w:rsidP="00F43A80">
    <w:pPr>
      <w:ind w:left="-12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51BBE" w14:textId="77777777" w:rsidR="00AD7CFE" w:rsidRDefault="00AD7CFE" w:rsidP="000E59DE">
      <w:r>
        <w:separator/>
      </w:r>
    </w:p>
    <w:p w14:paraId="689631BF" w14:textId="77777777" w:rsidR="00AD7CFE" w:rsidRDefault="00AD7CFE" w:rsidP="000E59DE"/>
  </w:footnote>
  <w:footnote w:type="continuationSeparator" w:id="0">
    <w:p w14:paraId="31EADD16" w14:textId="77777777" w:rsidR="00AD7CFE" w:rsidRDefault="00AD7CFE" w:rsidP="000E59DE">
      <w:r>
        <w:continuationSeparator/>
      </w:r>
    </w:p>
    <w:p w14:paraId="1A3061CC" w14:textId="77777777" w:rsidR="00AD7CFE" w:rsidRDefault="00AD7CFE" w:rsidP="000E59DE"/>
  </w:footnote>
  <w:footnote w:type="continuationNotice" w:id="1">
    <w:p w14:paraId="0DBDDA24" w14:textId="77777777" w:rsidR="00AD7CFE" w:rsidRPr="00BE23B2" w:rsidRDefault="00AD7CFE" w:rsidP="000E59DE"/>
    <w:p w14:paraId="47664A7B" w14:textId="77777777" w:rsidR="00AD7CFE" w:rsidRDefault="00AD7CFE" w:rsidP="000E59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77C"/>
    <w:multiLevelType w:val="multilevel"/>
    <w:tmpl w:val="2618F04C"/>
    <w:numStyleLink w:val="HHSBullets"/>
  </w:abstractNum>
  <w:abstractNum w:abstractNumId="1" w15:restartNumberingAfterBreak="0">
    <w:nsid w:val="06BE5665"/>
    <w:multiLevelType w:val="multilevel"/>
    <w:tmpl w:val="A3A6932C"/>
    <w:lvl w:ilvl="0">
      <w:start w:val="1"/>
      <w:numFmt w:val="upperRoman"/>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none"/>
      <w:lvlText w:val="i)"/>
      <w:lvlJc w:val="left"/>
      <w:pPr>
        <w:ind w:left="1800" w:hanging="360"/>
      </w:pPr>
      <w:rPr>
        <w:rFonts w:hint="default"/>
      </w:rPr>
    </w:lvl>
    <w:lvl w:ilvl="4">
      <w:start w:val="1"/>
      <w:numFmt w:val="none"/>
      <w:lvlText w:val=""/>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8CF6BE7"/>
    <w:multiLevelType w:val="multilevel"/>
    <w:tmpl w:val="7DA6CFBE"/>
    <w:lvl w:ilvl="0">
      <w:start w:val="1"/>
      <w:numFmt w:val="decimal"/>
      <w:lvlText w:val="%1)"/>
      <w:lvlJc w:val="left"/>
      <w:pPr>
        <w:ind w:left="54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none"/>
      <w:lvlText w:val="i)"/>
      <w:lvlJc w:val="left"/>
      <w:pPr>
        <w:ind w:left="1800" w:hanging="360"/>
      </w:pPr>
      <w:rPr>
        <w:rFonts w:hint="default"/>
      </w:rPr>
    </w:lvl>
    <w:lvl w:ilvl="4">
      <w:start w:val="1"/>
      <w:numFmt w:val="none"/>
      <w:lvlText w:val=""/>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 w15:restartNumberingAfterBreak="0">
    <w:nsid w:val="20CB4ABA"/>
    <w:multiLevelType w:val="multilevel"/>
    <w:tmpl w:val="B6DCB1F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A8775F"/>
    <w:multiLevelType w:val="multilevel"/>
    <w:tmpl w:val="398AECD2"/>
    <w:lvl w:ilvl="0">
      <w:start w:val="1"/>
      <w:numFmt w:val="upperRoman"/>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7"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8" w15:restartNumberingAfterBreak="0">
    <w:nsid w:val="43E44465"/>
    <w:multiLevelType w:val="hybridMultilevel"/>
    <w:tmpl w:val="55BA4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DF2D79"/>
    <w:multiLevelType w:val="hybridMultilevel"/>
    <w:tmpl w:val="7F8456B4"/>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52EA187C"/>
    <w:multiLevelType w:val="hybridMultilevel"/>
    <w:tmpl w:val="00F652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559E485E"/>
    <w:multiLevelType w:val="hybridMultilevel"/>
    <w:tmpl w:val="0A6E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2271F"/>
    <w:multiLevelType w:val="multilevel"/>
    <w:tmpl w:val="3FB8D666"/>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none"/>
      <w:lvlText w:val="i)"/>
      <w:lvlJc w:val="left"/>
      <w:pPr>
        <w:ind w:left="1800" w:hanging="360"/>
      </w:pPr>
      <w:rPr>
        <w:rFonts w:hint="default"/>
      </w:rPr>
    </w:lvl>
    <w:lvl w:ilvl="4">
      <w:start w:val="1"/>
      <w:numFmt w:val="none"/>
      <w:lvlText w:val=""/>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68141B13"/>
    <w:multiLevelType w:val="multilevel"/>
    <w:tmpl w:val="7DA6CFB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none"/>
      <w:lvlText w:val="i)"/>
      <w:lvlJc w:val="left"/>
      <w:pPr>
        <w:ind w:left="1800" w:hanging="360"/>
      </w:pPr>
      <w:rPr>
        <w:rFonts w:hint="default"/>
      </w:rPr>
    </w:lvl>
    <w:lvl w:ilvl="4">
      <w:start w:val="1"/>
      <w:numFmt w:val="none"/>
      <w:lvlText w:val=""/>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ADD6DA9"/>
    <w:multiLevelType w:val="hybridMultilevel"/>
    <w:tmpl w:val="99B8BD42"/>
    <w:lvl w:ilvl="0" w:tplc="1E12E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AE52DF8"/>
    <w:multiLevelType w:val="multilevel"/>
    <w:tmpl w:val="A3A6932C"/>
    <w:lvl w:ilvl="0">
      <w:start w:val="1"/>
      <w:numFmt w:val="upperRoman"/>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none"/>
      <w:lvlText w:val="i)"/>
      <w:lvlJc w:val="left"/>
      <w:pPr>
        <w:ind w:left="1800" w:hanging="360"/>
      </w:pPr>
      <w:rPr>
        <w:rFonts w:hint="default"/>
      </w:rPr>
    </w:lvl>
    <w:lvl w:ilvl="4">
      <w:start w:val="1"/>
      <w:numFmt w:val="none"/>
      <w:lvlText w:val=""/>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6D274DF3"/>
    <w:multiLevelType w:val="multilevel"/>
    <w:tmpl w:val="6608BD8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CB51EF"/>
    <w:multiLevelType w:val="multilevel"/>
    <w:tmpl w:val="A3A6932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137996"/>
    <w:multiLevelType w:val="multilevel"/>
    <w:tmpl w:val="012A118C"/>
    <w:lvl w:ilvl="0">
      <w:start w:val="1"/>
      <w:numFmt w:val="decimal"/>
      <w:pStyle w:val="ListNumber"/>
      <w:lvlText w:val="%1."/>
      <w:lvlJc w:val="left"/>
      <w:pPr>
        <w:ind w:left="720" w:hanging="360"/>
      </w:pPr>
      <w:rPr>
        <w:rFonts w:asciiTheme="minorHAnsi" w:hAnsiTheme="minorHAnsi" w:hint="default"/>
      </w:rPr>
    </w:lvl>
    <w:lvl w:ilvl="1">
      <w:start w:val="1"/>
      <w:numFmt w:val="upperLetter"/>
      <w:lvlText w:val="%2."/>
      <w:lvlJc w:val="left"/>
      <w:pPr>
        <w:ind w:left="1080" w:hanging="360"/>
      </w:pPr>
      <w:rPr>
        <w:rFonts w:asciiTheme="minorHAnsi" w:hAnsiTheme="minorHAnsi" w:hint="default"/>
      </w:rPr>
    </w:lvl>
    <w:lvl w:ilvl="2">
      <w:start w:val="1"/>
      <w:numFmt w:val="lowerLetter"/>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75A931D0"/>
    <w:multiLevelType w:val="multilevel"/>
    <w:tmpl w:val="3FB8D666"/>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none"/>
      <w:lvlText w:val="i)"/>
      <w:lvlJc w:val="left"/>
      <w:pPr>
        <w:ind w:left="1800" w:hanging="360"/>
      </w:pPr>
      <w:rPr>
        <w:rFonts w:hint="default"/>
      </w:rPr>
    </w:lvl>
    <w:lvl w:ilvl="4">
      <w:start w:val="1"/>
      <w:numFmt w:val="none"/>
      <w:lvlText w:val=""/>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8F51DCF"/>
    <w:multiLevelType w:val="hybridMultilevel"/>
    <w:tmpl w:val="A5F05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3"/>
  </w:num>
  <w:num w:numId="3">
    <w:abstractNumId w:val="3"/>
  </w:num>
  <w:num w:numId="4">
    <w:abstractNumId w:val="7"/>
  </w:num>
  <w:num w:numId="5">
    <w:abstractNumId w:val="0"/>
  </w:num>
  <w:num w:numId="6">
    <w:abstractNumId w:val="19"/>
  </w:num>
  <w:num w:numId="7">
    <w:abstractNumId w:val="5"/>
  </w:num>
  <w:num w:numId="8">
    <w:abstractNumId w:val="4"/>
  </w:num>
  <w:num w:numId="9">
    <w:abstractNumId w:val="1"/>
  </w:num>
  <w:num w:numId="10">
    <w:abstractNumId w:val="14"/>
  </w:num>
  <w:num w:numId="11">
    <w:abstractNumId w:val="15"/>
  </w:num>
  <w:num w:numId="12">
    <w:abstractNumId w:val="20"/>
  </w:num>
  <w:num w:numId="13">
    <w:abstractNumId w:val="2"/>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12"/>
  </w:num>
  <w:num w:numId="20">
    <w:abstractNumId w:val="11"/>
  </w:num>
  <w:num w:numId="21">
    <w:abstractNumId w:val="10"/>
  </w:num>
  <w:num w:numId="22">
    <w:abstractNumId w:val="9"/>
  </w:num>
  <w:num w:numId="23">
    <w:abstractNumId w:val="21"/>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DdaiDzlBQsD2N659yP0rPDWGALFE7QcreauGwlTmGByU1H7dldGWP/8Abite2GRY9xZnpRWLuVgbW+hDFe9Tg==" w:salt="49ny7E+Kk38LUXmOW1x3GA=="/>
  <w:defaultTabStop w:val="720"/>
  <w:characterSpacingControl w:val="doNotCompress"/>
  <w:hdrShapeDefaults>
    <o:shapedefaults v:ext="edit" spidmax="2049"/>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MzMwMbU0M7cwNrFU0lEKTi0uzszPAykwqgUA/V0PfSwAAAA="/>
  </w:docVars>
  <w:rsids>
    <w:rsidRoot w:val="00037AA8"/>
    <w:rsid w:val="0000543F"/>
    <w:rsid w:val="00005655"/>
    <w:rsid w:val="000113AF"/>
    <w:rsid w:val="00012378"/>
    <w:rsid w:val="00013299"/>
    <w:rsid w:val="000158D5"/>
    <w:rsid w:val="00021D62"/>
    <w:rsid w:val="00022723"/>
    <w:rsid w:val="0002300D"/>
    <w:rsid w:val="00026B05"/>
    <w:rsid w:val="00031A82"/>
    <w:rsid w:val="000350BC"/>
    <w:rsid w:val="00035F74"/>
    <w:rsid w:val="00037AA8"/>
    <w:rsid w:val="000467B7"/>
    <w:rsid w:val="000548F5"/>
    <w:rsid w:val="000577F3"/>
    <w:rsid w:val="00063D03"/>
    <w:rsid w:val="00067170"/>
    <w:rsid w:val="000674CE"/>
    <w:rsid w:val="0007216E"/>
    <w:rsid w:val="000809F0"/>
    <w:rsid w:val="000873C7"/>
    <w:rsid w:val="000A351D"/>
    <w:rsid w:val="000A5224"/>
    <w:rsid w:val="000B3EA7"/>
    <w:rsid w:val="000C36D2"/>
    <w:rsid w:val="000C5E68"/>
    <w:rsid w:val="000D3F84"/>
    <w:rsid w:val="000D45FE"/>
    <w:rsid w:val="000D46AF"/>
    <w:rsid w:val="000D59D6"/>
    <w:rsid w:val="000D61EC"/>
    <w:rsid w:val="000D682C"/>
    <w:rsid w:val="000E3BEC"/>
    <w:rsid w:val="000E59DE"/>
    <w:rsid w:val="000E6757"/>
    <w:rsid w:val="000F1A8C"/>
    <w:rsid w:val="000F31B2"/>
    <w:rsid w:val="00101F54"/>
    <w:rsid w:val="00103E56"/>
    <w:rsid w:val="00105892"/>
    <w:rsid w:val="00117F83"/>
    <w:rsid w:val="00132052"/>
    <w:rsid w:val="00137306"/>
    <w:rsid w:val="00141F81"/>
    <w:rsid w:val="001423B8"/>
    <w:rsid w:val="0014577F"/>
    <w:rsid w:val="00147BCA"/>
    <w:rsid w:val="001568C5"/>
    <w:rsid w:val="001607C2"/>
    <w:rsid w:val="00161FB8"/>
    <w:rsid w:val="00162419"/>
    <w:rsid w:val="001706ED"/>
    <w:rsid w:val="00171363"/>
    <w:rsid w:val="00171E4B"/>
    <w:rsid w:val="00183735"/>
    <w:rsid w:val="00184A85"/>
    <w:rsid w:val="0019359B"/>
    <w:rsid w:val="00195162"/>
    <w:rsid w:val="00196C80"/>
    <w:rsid w:val="0019742B"/>
    <w:rsid w:val="001A6214"/>
    <w:rsid w:val="001A75D9"/>
    <w:rsid w:val="001B4DEB"/>
    <w:rsid w:val="001C2741"/>
    <w:rsid w:val="001C2F88"/>
    <w:rsid w:val="001D2E60"/>
    <w:rsid w:val="001D6871"/>
    <w:rsid w:val="001F04E8"/>
    <w:rsid w:val="001F44F2"/>
    <w:rsid w:val="001F4A99"/>
    <w:rsid w:val="00200CCE"/>
    <w:rsid w:val="0020552D"/>
    <w:rsid w:val="00207CB3"/>
    <w:rsid w:val="00211D58"/>
    <w:rsid w:val="00214CA9"/>
    <w:rsid w:val="00216DF0"/>
    <w:rsid w:val="0022200D"/>
    <w:rsid w:val="002236D2"/>
    <w:rsid w:val="00233CD3"/>
    <w:rsid w:val="002363A6"/>
    <w:rsid w:val="00246352"/>
    <w:rsid w:val="00250F08"/>
    <w:rsid w:val="002542B4"/>
    <w:rsid w:val="00275511"/>
    <w:rsid w:val="00276923"/>
    <w:rsid w:val="00280FC0"/>
    <w:rsid w:val="00290ECB"/>
    <w:rsid w:val="00296E83"/>
    <w:rsid w:val="002A672A"/>
    <w:rsid w:val="002C5A74"/>
    <w:rsid w:val="002D11A7"/>
    <w:rsid w:val="002D5291"/>
    <w:rsid w:val="002E169A"/>
    <w:rsid w:val="002E2979"/>
    <w:rsid w:val="002E2998"/>
    <w:rsid w:val="002E4199"/>
    <w:rsid w:val="002F0249"/>
    <w:rsid w:val="002F1503"/>
    <w:rsid w:val="003031AA"/>
    <w:rsid w:val="00303BBD"/>
    <w:rsid w:val="00311B29"/>
    <w:rsid w:val="00327482"/>
    <w:rsid w:val="00333D56"/>
    <w:rsid w:val="00334B94"/>
    <w:rsid w:val="00335EB8"/>
    <w:rsid w:val="00343988"/>
    <w:rsid w:val="00343F9E"/>
    <w:rsid w:val="00345BE3"/>
    <w:rsid w:val="00345E37"/>
    <w:rsid w:val="00347810"/>
    <w:rsid w:val="00347E95"/>
    <w:rsid w:val="00363808"/>
    <w:rsid w:val="00366895"/>
    <w:rsid w:val="00371424"/>
    <w:rsid w:val="003768D1"/>
    <w:rsid w:val="00377587"/>
    <w:rsid w:val="0038551C"/>
    <w:rsid w:val="00393748"/>
    <w:rsid w:val="003A52DF"/>
    <w:rsid w:val="003A6713"/>
    <w:rsid w:val="003B3847"/>
    <w:rsid w:val="003B5EBB"/>
    <w:rsid w:val="003B776C"/>
    <w:rsid w:val="003C7B54"/>
    <w:rsid w:val="003D1618"/>
    <w:rsid w:val="003D5D0A"/>
    <w:rsid w:val="003E089E"/>
    <w:rsid w:val="003E1998"/>
    <w:rsid w:val="003E2331"/>
    <w:rsid w:val="003E41FF"/>
    <w:rsid w:val="003E7073"/>
    <w:rsid w:val="004003B1"/>
    <w:rsid w:val="004157CA"/>
    <w:rsid w:val="00423DE2"/>
    <w:rsid w:val="00424275"/>
    <w:rsid w:val="004288EA"/>
    <w:rsid w:val="0043266E"/>
    <w:rsid w:val="0043784B"/>
    <w:rsid w:val="0044042D"/>
    <w:rsid w:val="00444527"/>
    <w:rsid w:val="0044514E"/>
    <w:rsid w:val="0045240D"/>
    <w:rsid w:val="004631E6"/>
    <w:rsid w:val="00470EC4"/>
    <w:rsid w:val="00474EC0"/>
    <w:rsid w:val="00476A05"/>
    <w:rsid w:val="00476A13"/>
    <w:rsid w:val="00477E88"/>
    <w:rsid w:val="00483B78"/>
    <w:rsid w:val="004868C4"/>
    <w:rsid w:val="004A6A88"/>
    <w:rsid w:val="004B0519"/>
    <w:rsid w:val="004B0C14"/>
    <w:rsid w:val="004B1D12"/>
    <w:rsid w:val="004C408D"/>
    <w:rsid w:val="004D505A"/>
    <w:rsid w:val="004D7FC8"/>
    <w:rsid w:val="004E167A"/>
    <w:rsid w:val="004E1885"/>
    <w:rsid w:val="004E593E"/>
    <w:rsid w:val="004E6AD9"/>
    <w:rsid w:val="004E7CA9"/>
    <w:rsid w:val="004F2BDF"/>
    <w:rsid w:val="004F480F"/>
    <w:rsid w:val="00512F72"/>
    <w:rsid w:val="005200B7"/>
    <w:rsid w:val="0054702C"/>
    <w:rsid w:val="00550009"/>
    <w:rsid w:val="00552CFB"/>
    <w:rsid w:val="00556CC4"/>
    <w:rsid w:val="00564E7B"/>
    <w:rsid w:val="005650BA"/>
    <w:rsid w:val="00575689"/>
    <w:rsid w:val="005766BE"/>
    <w:rsid w:val="00576B0E"/>
    <w:rsid w:val="005775B6"/>
    <w:rsid w:val="00581C85"/>
    <w:rsid w:val="00596D6F"/>
    <w:rsid w:val="005977FF"/>
    <w:rsid w:val="00597C6D"/>
    <w:rsid w:val="005A5832"/>
    <w:rsid w:val="005A6BC4"/>
    <w:rsid w:val="005A7B40"/>
    <w:rsid w:val="005B2A90"/>
    <w:rsid w:val="005B75BA"/>
    <w:rsid w:val="005C1880"/>
    <w:rsid w:val="005C2739"/>
    <w:rsid w:val="005C7B8F"/>
    <w:rsid w:val="005D6212"/>
    <w:rsid w:val="005D7C97"/>
    <w:rsid w:val="005E2106"/>
    <w:rsid w:val="005E4CF9"/>
    <w:rsid w:val="005F18C3"/>
    <w:rsid w:val="005F2FCD"/>
    <w:rsid w:val="005F54F5"/>
    <w:rsid w:val="00600011"/>
    <w:rsid w:val="00610F47"/>
    <w:rsid w:val="00613EF4"/>
    <w:rsid w:val="0061458D"/>
    <w:rsid w:val="00616F54"/>
    <w:rsid w:val="00622A44"/>
    <w:rsid w:val="0063030B"/>
    <w:rsid w:val="00635C80"/>
    <w:rsid w:val="0063610F"/>
    <w:rsid w:val="00645D4F"/>
    <w:rsid w:val="00646CCE"/>
    <w:rsid w:val="0064779B"/>
    <w:rsid w:val="0065201B"/>
    <w:rsid w:val="0065297C"/>
    <w:rsid w:val="0065597D"/>
    <w:rsid w:val="00657F73"/>
    <w:rsid w:val="00660E58"/>
    <w:rsid w:val="0066540D"/>
    <w:rsid w:val="006657E9"/>
    <w:rsid w:val="00666716"/>
    <w:rsid w:val="006678BD"/>
    <w:rsid w:val="0068235D"/>
    <w:rsid w:val="00682CA0"/>
    <w:rsid w:val="00692774"/>
    <w:rsid w:val="00693C3C"/>
    <w:rsid w:val="00696CFF"/>
    <w:rsid w:val="006A147C"/>
    <w:rsid w:val="006B00B9"/>
    <w:rsid w:val="006B2FB8"/>
    <w:rsid w:val="006B514F"/>
    <w:rsid w:val="006C4CAD"/>
    <w:rsid w:val="006C4EFB"/>
    <w:rsid w:val="006D0D91"/>
    <w:rsid w:val="006D3373"/>
    <w:rsid w:val="006D7064"/>
    <w:rsid w:val="006E2D2A"/>
    <w:rsid w:val="006E404D"/>
    <w:rsid w:val="006E547D"/>
    <w:rsid w:val="006F5930"/>
    <w:rsid w:val="00701B23"/>
    <w:rsid w:val="00703EE1"/>
    <w:rsid w:val="00724434"/>
    <w:rsid w:val="00754858"/>
    <w:rsid w:val="00762C86"/>
    <w:rsid w:val="00767089"/>
    <w:rsid w:val="007670F1"/>
    <w:rsid w:val="007809D5"/>
    <w:rsid w:val="00786F01"/>
    <w:rsid w:val="007A61A8"/>
    <w:rsid w:val="007A698C"/>
    <w:rsid w:val="007B0E86"/>
    <w:rsid w:val="007C1F78"/>
    <w:rsid w:val="007D284E"/>
    <w:rsid w:val="007D5018"/>
    <w:rsid w:val="007E0E78"/>
    <w:rsid w:val="007E73B3"/>
    <w:rsid w:val="007F0352"/>
    <w:rsid w:val="00803D46"/>
    <w:rsid w:val="00807097"/>
    <w:rsid w:val="00807998"/>
    <w:rsid w:val="00815EBC"/>
    <w:rsid w:val="00823377"/>
    <w:rsid w:val="00825AFD"/>
    <w:rsid w:val="00831650"/>
    <w:rsid w:val="008356BD"/>
    <w:rsid w:val="00836009"/>
    <w:rsid w:val="00841D1D"/>
    <w:rsid w:val="00843B0C"/>
    <w:rsid w:val="00845291"/>
    <w:rsid w:val="008465A1"/>
    <w:rsid w:val="008503CA"/>
    <w:rsid w:val="00851874"/>
    <w:rsid w:val="00857D2E"/>
    <w:rsid w:val="008A08CF"/>
    <w:rsid w:val="008A6F0A"/>
    <w:rsid w:val="008B15AF"/>
    <w:rsid w:val="008B2B28"/>
    <w:rsid w:val="008B533B"/>
    <w:rsid w:val="008B7424"/>
    <w:rsid w:val="008C66E3"/>
    <w:rsid w:val="008C719B"/>
    <w:rsid w:val="008D00BD"/>
    <w:rsid w:val="008E2397"/>
    <w:rsid w:val="008E4837"/>
    <w:rsid w:val="008F2C03"/>
    <w:rsid w:val="00905276"/>
    <w:rsid w:val="009078C9"/>
    <w:rsid w:val="00911366"/>
    <w:rsid w:val="00912B8E"/>
    <w:rsid w:val="00915845"/>
    <w:rsid w:val="00915C59"/>
    <w:rsid w:val="00923398"/>
    <w:rsid w:val="009305A1"/>
    <w:rsid w:val="009309B1"/>
    <w:rsid w:val="00940B53"/>
    <w:rsid w:val="009444FF"/>
    <w:rsid w:val="0095140B"/>
    <w:rsid w:val="009555E1"/>
    <w:rsid w:val="00955957"/>
    <w:rsid w:val="0096447D"/>
    <w:rsid w:val="009657F3"/>
    <w:rsid w:val="00966638"/>
    <w:rsid w:val="00967274"/>
    <w:rsid w:val="009738A2"/>
    <w:rsid w:val="00973974"/>
    <w:rsid w:val="009740D0"/>
    <w:rsid w:val="00990BE6"/>
    <w:rsid w:val="00994859"/>
    <w:rsid w:val="009A05DC"/>
    <w:rsid w:val="009A104E"/>
    <w:rsid w:val="009A57B2"/>
    <w:rsid w:val="009B0A1A"/>
    <w:rsid w:val="009B6B38"/>
    <w:rsid w:val="009B6FA6"/>
    <w:rsid w:val="009C459E"/>
    <w:rsid w:val="009C71F0"/>
    <w:rsid w:val="009D78F8"/>
    <w:rsid w:val="009D7B4D"/>
    <w:rsid w:val="009E1C75"/>
    <w:rsid w:val="009E338D"/>
    <w:rsid w:val="009F019A"/>
    <w:rsid w:val="009F3A6D"/>
    <w:rsid w:val="009F4DBD"/>
    <w:rsid w:val="009F61F9"/>
    <w:rsid w:val="00A009CE"/>
    <w:rsid w:val="00A01A7C"/>
    <w:rsid w:val="00A034CD"/>
    <w:rsid w:val="00A05C85"/>
    <w:rsid w:val="00A07256"/>
    <w:rsid w:val="00A34372"/>
    <w:rsid w:val="00A36005"/>
    <w:rsid w:val="00A430EC"/>
    <w:rsid w:val="00A53142"/>
    <w:rsid w:val="00A57A76"/>
    <w:rsid w:val="00A6395A"/>
    <w:rsid w:val="00A64B47"/>
    <w:rsid w:val="00A664C8"/>
    <w:rsid w:val="00A72AF1"/>
    <w:rsid w:val="00A72B05"/>
    <w:rsid w:val="00A73D15"/>
    <w:rsid w:val="00A73EF7"/>
    <w:rsid w:val="00A809BF"/>
    <w:rsid w:val="00A81B83"/>
    <w:rsid w:val="00A846CD"/>
    <w:rsid w:val="00AA084E"/>
    <w:rsid w:val="00AA3E9D"/>
    <w:rsid w:val="00AA6C61"/>
    <w:rsid w:val="00AA7721"/>
    <w:rsid w:val="00AA78B4"/>
    <w:rsid w:val="00AB2B60"/>
    <w:rsid w:val="00AC418D"/>
    <w:rsid w:val="00AC534F"/>
    <w:rsid w:val="00AC5586"/>
    <w:rsid w:val="00AD144E"/>
    <w:rsid w:val="00AD2BB7"/>
    <w:rsid w:val="00AD2FEF"/>
    <w:rsid w:val="00AD3E3D"/>
    <w:rsid w:val="00AD6B8C"/>
    <w:rsid w:val="00AD7CFE"/>
    <w:rsid w:val="00AE2E54"/>
    <w:rsid w:val="00AE7201"/>
    <w:rsid w:val="00AE7291"/>
    <w:rsid w:val="00AF016D"/>
    <w:rsid w:val="00AF2D0E"/>
    <w:rsid w:val="00AF797C"/>
    <w:rsid w:val="00B026A5"/>
    <w:rsid w:val="00B03405"/>
    <w:rsid w:val="00B2144C"/>
    <w:rsid w:val="00B26956"/>
    <w:rsid w:val="00B410FB"/>
    <w:rsid w:val="00B44562"/>
    <w:rsid w:val="00B45EB7"/>
    <w:rsid w:val="00B52478"/>
    <w:rsid w:val="00B55BD5"/>
    <w:rsid w:val="00B62D6F"/>
    <w:rsid w:val="00B63262"/>
    <w:rsid w:val="00B64FAD"/>
    <w:rsid w:val="00B82468"/>
    <w:rsid w:val="00B84AE3"/>
    <w:rsid w:val="00B87A46"/>
    <w:rsid w:val="00B9698C"/>
    <w:rsid w:val="00BA3755"/>
    <w:rsid w:val="00BA7E9C"/>
    <w:rsid w:val="00BB40EF"/>
    <w:rsid w:val="00BB579E"/>
    <w:rsid w:val="00BB73E4"/>
    <w:rsid w:val="00BC4B3E"/>
    <w:rsid w:val="00BD48FA"/>
    <w:rsid w:val="00BE23B2"/>
    <w:rsid w:val="00BE638A"/>
    <w:rsid w:val="00C01AF6"/>
    <w:rsid w:val="00C218F6"/>
    <w:rsid w:val="00C22680"/>
    <w:rsid w:val="00C24769"/>
    <w:rsid w:val="00C4502F"/>
    <w:rsid w:val="00C476FA"/>
    <w:rsid w:val="00C51467"/>
    <w:rsid w:val="00C52E78"/>
    <w:rsid w:val="00C55070"/>
    <w:rsid w:val="00C562FA"/>
    <w:rsid w:val="00C578C0"/>
    <w:rsid w:val="00C60789"/>
    <w:rsid w:val="00C622E3"/>
    <w:rsid w:val="00C66913"/>
    <w:rsid w:val="00C70A59"/>
    <w:rsid w:val="00C73B90"/>
    <w:rsid w:val="00C77059"/>
    <w:rsid w:val="00C93B7E"/>
    <w:rsid w:val="00C94BE0"/>
    <w:rsid w:val="00CA00A4"/>
    <w:rsid w:val="00CA0989"/>
    <w:rsid w:val="00CA1532"/>
    <w:rsid w:val="00CA55CF"/>
    <w:rsid w:val="00CA7F91"/>
    <w:rsid w:val="00CB08C9"/>
    <w:rsid w:val="00CC0022"/>
    <w:rsid w:val="00CC3932"/>
    <w:rsid w:val="00CC4E10"/>
    <w:rsid w:val="00CC5572"/>
    <w:rsid w:val="00CD127C"/>
    <w:rsid w:val="00CD344A"/>
    <w:rsid w:val="00CD7B78"/>
    <w:rsid w:val="00CE0EF1"/>
    <w:rsid w:val="00CE6D51"/>
    <w:rsid w:val="00CF0FBC"/>
    <w:rsid w:val="00CF48F9"/>
    <w:rsid w:val="00D072AE"/>
    <w:rsid w:val="00D0760C"/>
    <w:rsid w:val="00D1278A"/>
    <w:rsid w:val="00D14B34"/>
    <w:rsid w:val="00D16536"/>
    <w:rsid w:val="00D17B57"/>
    <w:rsid w:val="00D25292"/>
    <w:rsid w:val="00D25525"/>
    <w:rsid w:val="00D30994"/>
    <w:rsid w:val="00D32864"/>
    <w:rsid w:val="00D35F8D"/>
    <w:rsid w:val="00D51C7C"/>
    <w:rsid w:val="00D57BB5"/>
    <w:rsid w:val="00D61983"/>
    <w:rsid w:val="00D7005B"/>
    <w:rsid w:val="00D71061"/>
    <w:rsid w:val="00D71EC4"/>
    <w:rsid w:val="00D86FBA"/>
    <w:rsid w:val="00D9281E"/>
    <w:rsid w:val="00D955BA"/>
    <w:rsid w:val="00D958E3"/>
    <w:rsid w:val="00DA0A59"/>
    <w:rsid w:val="00DA743E"/>
    <w:rsid w:val="00DA7F8F"/>
    <w:rsid w:val="00DB1DCF"/>
    <w:rsid w:val="00DC4D89"/>
    <w:rsid w:val="00DC506B"/>
    <w:rsid w:val="00DD79FB"/>
    <w:rsid w:val="00DE1A1F"/>
    <w:rsid w:val="00DE30EB"/>
    <w:rsid w:val="00E0255D"/>
    <w:rsid w:val="00E137E6"/>
    <w:rsid w:val="00E13888"/>
    <w:rsid w:val="00E1542E"/>
    <w:rsid w:val="00E168FC"/>
    <w:rsid w:val="00E204BD"/>
    <w:rsid w:val="00E32C2F"/>
    <w:rsid w:val="00E34802"/>
    <w:rsid w:val="00E55331"/>
    <w:rsid w:val="00E77096"/>
    <w:rsid w:val="00E82D74"/>
    <w:rsid w:val="00E8300E"/>
    <w:rsid w:val="00E8472D"/>
    <w:rsid w:val="00E907FA"/>
    <w:rsid w:val="00E93943"/>
    <w:rsid w:val="00EA1AFB"/>
    <w:rsid w:val="00EA681B"/>
    <w:rsid w:val="00EA7859"/>
    <w:rsid w:val="00EB7BDE"/>
    <w:rsid w:val="00EC4283"/>
    <w:rsid w:val="00ED0680"/>
    <w:rsid w:val="00ED3AF0"/>
    <w:rsid w:val="00ED6B25"/>
    <w:rsid w:val="00EE074F"/>
    <w:rsid w:val="00EE12C3"/>
    <w:rsid w:val="00EE4F4A"/>
    <w:rsid w:val="00EE6AA0"/>
    <w:rsid w:val="00EE7D41"/>
    <w:rsid w:val="00EF0202"/>
    <w:rsid w:val="00EF0AA5"/>
    <w:rsid w:val="00EF2331"/>
    <w:rsid w:val="00EF7823"/>
    <w:rsid w:val="00F0408B"/>
    <w:rsid w:val="00F12EE1"/>
    <w:rsid w:val="00F16DCB"/>
    <w:rsid w:val="00F21889"/>
    <w:rsid w:val="00F21EEC"/>
    <w:rsid w:val="00F22B8C"/>
    <w:rsid w:val="00F23056"/>
    <w:rsid w:val="00F27BD7"/>
    <w:rsid w:val="00F30535"/>
    <w:rsid w:val="00F31642"/>
    <w:rsid w:val="00F31FE0"/>
    <w:rsid w:val="00F34ED5"/>
    <w:rsid w:val="00F37260"/>
    <w:rsid w:val="00F420D8"/>
    <w:rsid w:val="00F43A80"/>
    <w:rsid w:val="00F4415B"/>
    <w:rsid w:val="00F4653C"/>
    <w:rsid w:val="00F54A70"/>
    <w:rsid w:val="00F77E4E"/>
    <w:rsid w:val="00F80729"/>
    <w:rsid w:val="00F856E8"/>
    <w:rsid w:val="00F93DCD"/>
    <w:rsid w:val="00F9445A"/>
    <w:rsid w:val="00F94B47"/>
    <w:rsid w:val="00FA577C"/>
    <w:rsid w:val="00FA7E82"/>
    <w:rsid w:val="00FB2C37"/>
    <w:rsid w:val="00FB2E2D"/>
    <w:rsid w:val="00FC3734"/>
    <w:rsid w:val="00FD3613"/>
    <w:rsid w:val="00FD3AD2"/>
    <w:rsid w:val="00FD6BA2"/>
    <w:rsid w:val="00FE5F97"/>
    <w:rsid w:val="00FF1E38"/>
    <w:rsid w:val="00FF26BB"/>
    <w:rsid w:val="00FF3E95"/>
    <w:rsid w:val="00FF472B"/>
    <w:rsid w:val="00FF77C1"/>
    <w:rsid w:val="03A0CF09"/>
    <w:rsid w:val="169B882E"/>
    <w:rsid w:val="1CA5ED9A"/>
    <w:rsid w:val="1FDD8E5C"/>
    <w:rsid w:val="21BD26BC"/>
    <w:rsid w:val="2264380B"/>
    <w:rsid w:val="26DC4B9A"/>
    <w:rsid w:val="28C864DB"/>
    <w:rsid w:val="2D4B8D1E"/>
    <w:rsid w:val="2FB283A6"/>
    <w:rsid w:val="2FCBAC03"/>
    <w:rsid w:val="301927C4"/>
    <w:rsid w:val="31D874B6"/>
    <w:rsid w:val="3535EFBD"/>
    <w:rsid w:val="3621C52A"/>
    <w:rsid w:val="386D907F"/>
    <w:rsid w:val="3AB6347A"/>
    <w:rsid w:val="3E9DD030"/>
    <w:rsid w:val="3EDCD203"/>
    <w:rsid w:val="42193822"/>
    <w:rsid w:val="43BFB795"/>
    <w:rsid w:val="484774FD"/>
    <w:rsid w:val="4BCAC97A"/>
    <w:rsid w:val="4ED9CD70"/>
    <w:rsid w:val="4F70A007"/>
    <w:rsid w:val="50E00B2D"/>
    <w:rsid w:val="5519E732"/>
    <w:rsid w:val="5A4D0A69"/>
    <w:rsid w:val="5ACAB572"/>
    <w:rsid w:val="5F207B8C"/>
    <w:rsid w:val="69352ECA"/>
    <w:rsid w:val="6B77ABD3"/>
    <w:rsid w:val="72BDBEAF"/>
    <w:rsid w:val="73203DE2"/>
    <w:rsid w:val="73D038D6"/>
    <w:rsid w:val="74BC0E43"/>
    <w:rsid w:val="7B8D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46DA2"/>
  <w15:chartTrackingRefBased/>
  <w15:docId w15:val="{98A333C6-5F31-491F-97EC-147169F8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lsdException w:name="toc 6" w:semiHidden="1" w:uiPriority="1" w:unhideWhenUsed="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FollowedHyperlink" w:semiHidden="1"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6"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semiHidden/>
    <w:rsid w:val="00037AA8"/>
    <w:rPr>
      <w:szCs w:val="20"/>
    </w:rPr>
  </w:style>
  <w:style w:type="paragraph" w:styleId="Heading1">
    <w:name w:val="heading 1"/>
    <w:next w:val="BodyTextafterheading"/>
    <w:link w:val="Heading1Char"/>
    <w:rsid w:val="00C94BE0"/>
    <w:pPr>
      <w:keepNext/>
      <w:keepLines/>
      <w:spacing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2F0249"/>
    <w:pPr>
      <w:keepNext/>
      <w:keepLines/>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2F0249"/>
    <w:pPr>
      <w:keepNext/>
      <w:keepLines/>
      <w:spacing w:before="240" w:after="120" w:line="288" w:lineRule="auto"/>
      <w:outlineLvl w:val="2"/>
    </w:pPr>
    <w:rPr>
      <w:rFonts w:asciiTheme="majorHAnsi" w:eastAsiaTheme="majorEastAsia" w:hAnsiTheme="majorHAnsi" w:cstheme="majorBidi"/>
      <w:b/>
      <w:color w:val="005CB9"/>
      <w:sz w:val="36"/>
      <w:szCs w:val="24"/>
    </w:rPr>
  </w:style>
  <w:style w:type="paragraph" w:styleId="Heading4">
    <w:name w:val="heading 4"/>
    <w:next w:val="BodyTextafterheading"/>
    <w:link w:val="Heading4Char"/>
    <w:qFormat/>
    <w:rsid w:val="006F5930"/>
    <w:pPr>
      <w:keepNext/>
      <w:keepLines/>
      <w:spacing w:before="240" w:after="120" w:line="288" w:lineRule="auto"/>
      <w:outlineLvl w:val="3"/>
    </w:pPr>
    <w:rPr>
      <w:rFonts w:asciiTheme="majorHAnsi" w:eastAsiaTheme="majorEastAsia" w:hAnsiTheme="majorHAnsi" w:cstheme="majorBidi"/>
      <w:b/>
      <w:iCs/>
      <w:color w:val="022167" w:themeColor="text1"/>
      <w:sz w:val="24"/>
      <w:szCs w:val="20"/>
    </w:rPr>
  </w:style>
  <w:style w:type="paragraph" w:styleId="Heading5">
    <w:name w:val="heading 5"/>
    <w:next w:val="BodyTextafterheading"/>
    <w:link w:val="Heading5Char"/>
    <w:rsid w:val="002F0249"/>
    <w:pPr>
      <w:keepNext/>
      <w:keepLines/>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2F0249"/>
    <w:pPr>
      <w:keepNext/>
      <w:keepLines/>
      <w:spacing w:before="240" w:after="120" w:line="288" w:lineRule="auto"/>
      <w:outlineLvl w:val="5"/>
    </w:pPr>
    <w:rPr>
      <w:rFonts w:asciiTheme="majorHAnsi" w:eastAsiaTheme="majorEastAsia" w:hAnsiTheme="majorHAnsi" w:cstheme="majorBidi"/>
      <w:b/>
      <w:iCs/>
      <w:color w:val="022167" w:themeColor="tex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uiPriority w:val="4"/>
    <w:qFormat/>
    <w:rsid w:val="00250F08"/>
    <w:rPr>
      <w:b/>
      <w:i/>
    </w:rPr>
  </w:style>
  <w:style w:type="paragraph" w:customStyle="1" w:styleId="Heading1forLists">
    <w:name w:val="Heading 1 for Lists"/>
    <w:basedOn w:val="TOCHeading"/>
    <w:next w:val="BodyTextafterheading"/>
    <w:link w:val="Heading1forListsChar"/>
    <w:uiPriority w:val="2"/>
    <w:qFormat/>
    <w:rsid w:val="00333D56"/>
  </w:style>
  <w:style w:type="character" w:customStyle="1" w:styleId="Heading1forListsChar">
    <w:name w:val="Heading 1 for Lists Char"/>
    <w:basedOn w:val="DefaultParagraphFont"/>
    <w:link w:val="Heading1forLists"/>
    <w:uiPriority w:val="2"/>
    <w:rsid w:val="00333D56"/>
    <w:rPr>
      <w:rFonts w:asciiTheme="majorHAnsi" w:eastAsia="Times New Roman" w:hAnsiTheme="majorHAnsi" w:cs="Times New Roman"/>
      <w:b/>
      <w:sz w:val="40"/>
      <w:szCs w:val="24"/>
    </w:rPr>
  </w:style>
  <w:style w:type="character" w:customStyle="1" w:styleId="Heading1Char">
    <w:name w:val="Heading 1 Char"/>
    <w:basedOn w:val="DefaultParagraphFont"/>
    <w:link w:val="Heading1"/>
    <w:rsid w:val="00C94BE0"/>
    <w:rPr>
      <w:rFonts w:asciiTheme="majorHAnsi" w:eastAsiaTheme="majorEastAsia" w:hAnsiTheme="majorHAnsi" w:cs="Arial"/>
      <w:b/>
      <w:color w:val="000000" w:themeColor="text2"/>
      <w:sz w:val="40"/>
      <w:szCs w:val="36"/>
    </w:rPr>
  </w:style>
  <w:style w:type="paragraph" w:styleId="TOCHeading">
    <w:name w:val="TOC Heading"/>
    <w:next w:val="TOC1"/>
    <w:link w:val="TOCHeadingChar"/>
    <w:uiPriority w:val="39"/>
    <w:qFormat/>
    <w:rsid w:val="00333D56"/>
    <w:pPr>
      <w:spacing w:after="240" w:line="288" w:lineRule="auto"/>
      <w:jc w:val="center"/>
      <w:outlineLvl w:val="0"/>
    </w:pPr>
    <w:rPr>
      <w:rFonts w:asciiTheme="majorHAnsi" w:eastAsia="Times New Roman" w:hAnsiTheme="majorHAnsi" w:cs="Times New Roman"/>
      <w:b/>
      <w:sz w:val="40"/>
      <w:szCs w:val="24"/>
    </w:rPr>
  </w:style>
  <w:style w:type="paragraph" w:customStyle="1" w:styleId="TableContent">
    <w:name w:val="Table Content"/>
    <w:basedOn w:val="BodyText"/>
    <w:link w:val="TableContentChar"/>
    <w:uiPriority w:val="4"/>
    <w:rsid w:val="00067170"/>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067170"/>
    <w:rPr>
      <w:sz w:val="20"/>
      <w:szCs w:val="20"/>
    </w:rPr>
  </w:style>
  <w:style w:type="paragraph" w:styleId="BodyText">
    <w:name w:val="Body Text"/>
    <w:link w:val="BodyTextChar"/>
    <w:qFormat/>
    <w:rsid w:val="00660E58"/>
    <w:pPr>
      <w:spacing w:before="240" w:after="240" w:line="288" w:lineRule="auto"/>
    </w:pPr>
    <w:rPr>
      <w:szCs w:val="20"/>
    </w:rPr>
  </w:style>
  <w:style w:type="character" w:customStyle="1" w:styleId="BodyTextChar">
    <w:name w:val="Body Text Char"/>
    <w:basedOn w:val="DefaultParagraphFont"/>
    <w:link w:val="BodyText"/>
    <w:rsid w:val="00660E58"/>
    <w:rPr>
      <w:szCs w:val="20"/>
    </w:rPr>
  </w:style>
  <w:style w:type="paragraph" w:customStyle="1" w:styleId="BodyTextafterheading">
    <w:name w:val="Body Text after heading"/>
    <w:basedOn w:val="BodyText"/>
    <w:next w:val="BodyText"/>
    <w:link w:val="BodyTextafterheadingChar"/>
    <w:uiPriority w:val="4"/>
    <w:qFormat/>
    <w:rsid w:val="00250F08"/>
    <w:pPr>
      <w:spacing w:before="120"/>
    </w:pPr>
  </w:style>
  <w:style w:type="character" w:customStyle="1" w:styleId="BodyTextafterheadingChar">
    <w:name w:val="Body Text after heading Char"/>
    <w:basedOn w:val="BodyTextChar"/>
    <w:link w:val="BodyTextafterheading"/>
    <w:uiPriority w:val="4"/>
    <w:rsid w:val="00250F08"/>
    <w:rPr>
      <w:szCs w:val="20"/>
    </w:rPr>
  </w:style>
  <w:style w:type="character" w:customStyle="1" w:styleId="Heading2Char">
    <w:name w:val="Heading 2 Char"/>
    <w:basedOn w:val="DefaultParagraphFont"/>
    <w:link w:val="Heading2"/>
    <w:rsid w:val="002F0249"/>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2F0249"/>
    <w:rPr>
      <w:rFonts w:asciiTheme="majorHAnsi" w:eastAsiaTheme="majorEastAsia" w:hAnsiTheme="majorHAnsi" w:cstheme="majorBidi"/>
      <w:b/>
      <w:color w:val="005CB9"/>
      <w:sz w:val="36"/>
      <w:szCs w:val="24"/>
    </w:rPr>
  </w:style>
  <w:style w:type="character" w:customStyle="1" w:styleId="Heading4Char">
    <w:name w:val="Heading 4 Char"/>
    <w:basedOn w:val="DefaultParagraphFont"/>
    <w:link w:val="Heading4"/>
    <w:rsid w:val="006F5930"/>
    <w:rPr>
      <w:rFonts w:asciiTheme="majorHAnsi" w:eastAsiaTheme="majorEastAsia" w:hAnsiTheme="majorHAnsi" w:cstheme="majorBidi"/>
      <w:b/>
      <w:iCs/>
      <w:color w:val="022167" w:themeColor="text1"/>
      <w:sz w:val="24"/>
      <w:szCs w:val="20"/>
    </w:rPr>
  </w:style>
  <w:style w:type="character" w:customStyle="1" w:styleId="Heading6Char">
    <w:name w:val="Heading 6 Char"/>
    <w:basedOn w:val="DefaultParagraphFont"/>
    <w:link w:val="Heading6"/>
    <w:rsid w:val="002F0249"/>
    <w:rPr>
      <w:rFonts w:asciiTheme="majorHAnsi" w:eastAsiaTheme="majorEastAsia" w:hAnsiTheme="majorHAnsi" w:cstheme="majorBidi"/>
      <w:b/>
      <w:iCs/>
      <w:color w:val="022167" w:themeColor="text1"/>
      <w:sz w:val="28"/>
      <w:szCs w:val="20"/>
    </w:rPr>
  </w:style>
  <w:style w:type="paragraph" w:styleId="Caption">
    <w:name w:val="caption"/>
    <w:basedOn w:val="BodyText"/>
    <w:next w:val="BodyText"/>
    <w:uiPriority w:val="4"/>
    <w:qFormat/>
    <w:rsid w:val="00371424"/>
    <w:pPr>
      <w:keepNext/>
      <w:spacing w:before="60" w:after="60"/>
    </w:pPr>
    <w:rPr>
      <w:b/>
      <w:iCs/>
      <w:color w:val="000000" w:themeColor="text2"/>
      <w:sz w:val="20"/>
      <w:szCs w:val="18"/>
    </w:rPr>
  </w:style>
  <w:style w:type="paragraph" w:styleId="ListBullet">
    <w:name w:val="List Bullet"/>
    <w:uiPriority w:val="5"/>
    <w:qFormat/>
    <w:rsid w:val="00250F08"/>
    <w:pPr>
      <w:numPr>
        <w:numId w:val="5"/>
      </w:numPr>
      <w:spacing w:before="120" w:after="120" w:line="288" w:lineRule="auto"/>
    </w:pPr>
    <w:rPr>
      <w:rFonts w:cs="Calibri"/>
      <w:szCs w:val="20"/>
    </w:rPr>
  </w:style>
  <w:style w:type="paragraph" w:styleId="ListNumber">
    <w:name w:val="List Number"/>
    <w:uiPriority w:val="5"/>
    <w:qFormat/>
    <w:rsid w:val="00966638"/>
    <w:pPr>
      <w:numPr>
        <w:numId w:val="6"/>
      </w:numPr>
      <w:spacing w:before="120" w:after="120" w:line="288" w:lineRule="auto"/>
    </w:pPr>
    <w:rPr>
      <w:szCs w:val="20"/>
    </w:rPr>
  </w:style>
  <w:style w:type="paragraph" w:styleId="Title">
    <w:name w:val="Title"/>
    <w:basedOn w:val="Normal"/>
    <w:link w:val="TitleChar"/>
    <w:uiPriority w:val="10"/>
    <w:semiHidden/>
    <w:qFormat/>
    <w:rsid w:val="002236D2"/>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semiHidden/>
    <w:rsid w:val="002236D2"/>
    <w:rPr>
      <w:rFonts w:asciiTheme="majorHAnsi" w:eastAsiaTheme="majorEastAsia" w:hAnsiTheme="majorHAnsi" w:cstheme="majorBidi"/>
      <w:b/>
      <w:color w:val="005CB9"/>
      <w:spacing w:val="-10"/>
      <w:kern w:val="28"/>
      <w:sz w:val="56"/>
      <w:szCs w:val="56"/>
    </w:rPr>
  </w:style>
  <w:style w:type="paragraph" w:styleId="Subtitle">
    <w:name w:val="Subtitle"/>
    <w:basedOn w:val="Normal"/>
    <w:link w:val="SubtitleChar"/>
    <w:uiPriority w:val="11"/>
    <w:semiHidden/>
    <w:qFormat/>
    <w:rsid w:val="002236D2"/>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semiHidden/>
    <w:rsid w:val="002236D2"/>
    <w:rPr>
      <w:rFonts w:eastAsiaTheme="minorEastAsia"/>
      <w:b/>
      <w:color w:val="000000" w:themeColor="text2"/>
      <w:sz w:val="32"/>
      <w:szCs w:val="20"/>
    </w:rPr>
  </w:style>
  <w:style w:type="character" w:styleId="Strong">
    <w:name w:val="Strong"/>
    <w:uiPriority w:val="4"/>
    <w:qFormat/>
    <w:rsid w:val="00250F08"/>
    <w:rPr>
      <w:b/>
      <w:bCs/>
    </w:rPr>
  </w:style>
  <w:style w:type="character" w:styleId="Emphasis">
    <w:name w:val="Emphasis"/>
    <w:uiPriority w:val="4"/>
    <w:qFormat/>
    <w:rsid w:val="00250F08"/>
    <w:rPr>
      <w:i/>
      <w:iCs/>
    </w:rPr>
  </w:style>
  <w:style w:type="paragraph" w:styleId="ListParagraph">
    <w:name w:val="List Paragraph"/>
    <w:uiPriority w:val="5"/>
    <w:qFormat/>
    <w:rsid w:val="00660E58"/>
    <w:pPr>
      <w:spacing w:before="120" w:after="120"/>
      <w:ind w:left="720"/>
    </w:pPr>
    <w:rPr>
      <w:szCs w:val="20"/>
    </w:rPr>
  </w:style>
  <w:style w:type="table" w:customStyle="1" w:styleId="AccessibleBaseforTables">
    <w:name w:val="Accessible Base for Tables"/>
    <w:basedOn w:val="TableNormal"/>
    <w:uiPriority w:val="99"/>
    <w:rsid w:val="00A05C85"/>
    <w:pPr>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063D03"/>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paragraph" w:styleId="BlockText">
    <w:name w:val="Block Text"/>
    <w:basedOn w:val="BodyText"/>
    <w:uiPriority w:val="6"/>
    <w:qFormat/>
    <w:rsid w:val="000D61EC"/>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character" w:customStyle="1" w:styleId="Heading5Char">
    <w:name w:val="Heading 5 Char"/>
    <w:basedOn w:val="DefaultParagraphFont"/>
    <w:link w:val="Heading5"/>
    <w:rsid w:val="002F0249"/>
    <w:rPr>
      <w:rFonts w:asciiTheme="majorHAnsi" w:eastAsiaTheme="majorEastAsia" w:hAnsiTheme="majorHAnsi" w:cstheme="majorBidi"/>
      <w:b/>
      <w:iCs/>
      <w:color w:val="005CB9"/>
      <w:sz w:val="28"/>
      <w:szCs w:val="20"/>
    </w:rPr>
  </w:style>
  <w:style w:type="numbering" w:customStyle="1" w:styleId="HHSBullets">
    <w:name w:val="HHS Bullets"/>
    <w:uiPriority w:val="99"/>
    <w:rsid w:val="00A05C85"/>
    <w:pPr>
      <w:numPr>
        <w:numId w:val="2"/>
      </w:numPr>
    </w:pPr>
  </w:style>
  <w:style w:type="table" w:customStyle="1" w:styleId="HHSFinancialData">
    <w:name w:val="HHS Financial Data"/>
    <w:basedOn w:val="AccessibleBaseforTables"/>
    <w:uiPriority w:val="99"/>
    <w:rsid w:val="0000543F"/>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numbering" w:customStyle="1" w:styleId="HHSHeadingNumbering">
    <w:name w:val="HHS Heading Numbering"/>
    <w:uiPriority w:val="99"/>
    <w:rsid w:val="00D16536"/>
    <w:pPr>
      <w:numPr>
        <w:numId w:val="1"/>
      </w:numPr>
    </w:pPr>
  </w:style>
  <w:style w:type="numbering" w:customStyle="1" w:styleId="HHSNumbering">
    <w:name w:val="HHS Numbering"/>
    <w:uiPriority w:val="99"/>
    <w:rsid w:val="00A05C85"/>
    <w:pPr>
      <w:numPr>
        <w:numId w:val="3"/>
      </w:numPr>
    </w:pPr>
  </w:style>
  <w:style w:type="table" w:customStyle="1" w:styleId="HHSTableforTextData">
    <w:name w:val="HHS Table for Text Data"/>
    <w:basedOn w:val="AccessibleBaseforTables"/>
    <w:uiPriority w:val="99"/>
    <w:rsid w:val="00063D03"/>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character" w:styleId="Hyperlink">
    <w:name w:val="Hyperlink"/>
    <w:uiPriority w:val="99"/>
    <w:rsid w:val="00A05C85"/>
    <w:rPr>
      <w:rFonts w:asciiTheme="minorHAnsi" w:hAnsiTheme="minorHAnsi" w:cs="Times New Roman" w:hint="default"/>
      <w:color w:val="0965D5"/>
      <w:u w:val="single"/>
    </w:rPr>
  </w:style>
  <w:style w:type="table" w:customStyle="1" w:styleId="ListofAcronyms">
    <w:name w:val="List of Acronyms"/>
    <w:basedOn w:val="TableNormal"/>
    <w:uiPriority w:val="99"/>
    <w:rsid w:val="00F54A70"/>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table" w:styleId="TableGrid">
    <w:name w:val="Table Grid"/>
    <w:basedOn w:val="TableNormal"/>
    <w:uiPriority w:val="39"/>
    <w:rsid w:val="0006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5070"/>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C55070"/>
    <w:rPr>
      <w:sz w:val="18"/>
      <w:szCs w:val="20"/>
    </w:rPr>
  </w:style>
  <w:style w:type="paragraph" w:styleId="TOC3">
    <w:name w:val="toc 3"/>
    <w:basedOn w:val="Normal"/>
    <w:next w:val="Normal"/>
    <w:uiPriority w:val="39"/>
    <w:rsid w:val="00A73EF7"/>
    <w:pPr>
      <w:spacing w:after="100"/>
      <w:ind w:left="440"/>
    </w:pPr>
    <w:rPr>
      <w:rFonts w:asciiTheme="majorHAnsi" w:hAnsiTheme="majorHAnsi"/>
    </w:rPr>
  </w:style>
  <w:style w:type="paragraph" w:styleId="TOC4">
    <w:name w:val="toc 4"/>
    <w:basedOn w:val="Normal"/>
    <w:next w:val="Normal"/>
    <w:uiPriority w:val="39"/>
    <w:rsid w:val="00A73EF7"/>
    <w:pPr>
      <w:spacing w:after="100"/>
      <w:ind w:left="660"/>
    </w:pPr>
    <w:rPr>
      <w:rFonts w:asciiTheme="majorHAnsi" w:hAnsiTheme="majorHAnsi"/>
    </w:rPr>
  </w:style>
  <w:style w:type="paragraph" w:styleId="TOC5">
    <w:name w:val="toc 5"/>
    <w:basedOn w:val="Normal"/>
    <w:next w:val="Normal"/>
    <w:uiPriority w:val="1"/>
    <w:semiHidden/>
    <w:rsid w:val="00A73EF7"/>
    <w:pPr>
      <w:spacing w:after="100"/>
      <w:ind w:left="880"/>
    </w:pPr>
    <w:rPr>
      <w:rFonts w:asciiTheme="majorHAnsi" w:hAnsiTheme="majorHAnsi"/>
    </w:rPr>
  </w:style>
  <w:style w:type="paragraph" w:styleId="TOC6">
    <w:name w:val="toc 6"/>
    <w:basedOn w:val="Normal"/>
    <w:next w:val="Normal"/>
    <w:uiPriority w:val="1"/>
    <w:semiHidden/>
    <w:rsid w:val="00A73EF7"/>
    <w:pPr>
      <w:spacing w:after="100"/>
      <w:ind w:left="1100"/>
    </w:pPr>
    <w:rPr>
      <w:rFonts w:asciiTheme="majorHAnsi" w:hAnsiTheme="majorHAnsi"/>
    </w:rPr>
  </w:style>
  <w:style w:type="paragraph" w:styleId="Quote">
    <w:name w:val="Quote"/>
    <w:link w:val="QuoteChar"/>
    <w:uiPriority w:val="6"/>
    <w:qFormat/>
    <w:rsid w:val="00660E58"/>
    <w:pPr>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660E58"/>
    <w:rPr>
      <w:i/>
      <w:iCs/>
      <w:color w:val="0440CA" w:themeColor="text1" w:themeTint="BF"/>
      <w:szCs w:val="20"/>
    </w:rPr>
  </w:style>
  <w:style w:type="character" w:styleId="UnresolvedMention">
    <w:name w:val="Unresolved Mention"/>
    <w:basedOn w:val="DefaultParagraphFont"/>
    <w:uiPriority w:val="99"/>
    <w:semiHidden/>
    <w:unhideWhenUsed/>
    <w:rsid w:val="00CC5572"/>
    <w:rPr>
      <w:color w:val="808080"/>
      <w:shd w:val="clear" w:color="auto" w:fill="E6E6E6"/>
    </w:rPr>
  </w:style>
  <w:style w:type="numbering" w:customStyle="1" w:styleId="Appendixes">
    <w:name w:val="Appendixes"/>
    <w:uiPriority w:val="99"/>
    <w:rsid w:val="005F54F5"/>
    <w:pPr>
      <w:numPr>
        <w:numId w:val="4"/>
      </w:numPr>
    </w:pPr>
  </w:style>
  <w:style w:type="paragraph" w:styleId="TOC1">
    <w:name w:val="toc 1"/>
    <w:basedOn w:val="Normal"/>
    <w:next w:val="Normal"/>
    <w:uiPriority w:val="39"/>
    <w:rsid w:val="00BA3755"/>
    <w:pPr>
      <w:spacing w:before="240"/>
    </w:pPr>
    <w:rPr>
      <w:rFonts w:asciiTheme="majorHAnsi" w:hAnsiTheme="majorHAnsi"/>
      <w:b/>
    </w:rPr>
  </w:style>
  <w:style w:type="character" w:styleId="FollowedHyperlink">
    <w:name w:val="FollowedHyperlink"/>
    <w:basedOn w:val="DefaultParagraphFont"/>
    <w:uiPriority w:val="99"/>
    <w:semiHidden/>
    <w:unhideWhenUsed/>
    <w:rsid w:val="008D00BD"/>
    <w:rPr>
      <w:color w:val="7D868C" w:themeColor="followedHyperlink"/>
      <w:u w:val="single"/>
    </w:rPr>
  </w:style>
  <w:style w:type="paragraph" w:styleId="BalloonText">
    <w:name w:val="Balloon Text"/>
    <w:basedOn w:val="Normal"/>
    <w:link w:val="BalloonTextChar"/>
    <w:uiPriority w:val="99"/>
    <w:semiHidden/>
    <w:unhideWhenUsed/>
    <w:rsid w:val="00BE2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B2"/>
    <w:rPr>
      <w:rFonts w:ascii="Segoe UI" w:hAnsi="Segoe UI" w:cs="Segoe UI"/>
      <w:sz w:val="18"/>
      <w:szCs w:val="18"/>
    </w:rPr>
  </w:style>
  <w:style w:type="paragraph" w:styleId="FootnoteText">
    <w:name w:val="footnote text"/>
    <w:basedOn w:val="Normal"/>
    <w:link w:val="FootnoteTextChar"/>
    <w:uiPriority w:val="99"/>
    <w:semiHidden/>
    <w:unhideWhenUsed/>
    <w:rsid w:val="00BE23B2"/>
    <w:rPr>
      <w:sz w:val="20"/>
    </w:rPr>
  </w:style>
  <w:style w:type="character" w:customStyle="1" w:styleId="FootnoteTextChar">
    <w:name w:val="Footnote Text Char"/>
    <w:basedOn w:val="DefaultParagraphFont"/>
    <w:link w:val="FootnoteText"/>
    <w:uiPriority w:val="99"/>
    <w:semiHidden/>
    <w:rsid w:val="00BE23B2"/>
    <w:rPr>
      <w:sz w:val="20"/>
      <w:szCs w:val="20"/>
    </w:rPr>
  </w:style>
  <w:style w:type="character" w:styleId="FootnoteReference">
    <w:name w:val="footnote reference"/>
    <w:basedOn w:val="DefaultParagraphFont"/>
    <w:uiPriority w:val="99"/>
    <w:semiHidden/>
    <w:unhideWhenUsed/>
    <w:rsid w:val="00BE23B2"/>
    <w:rPr>
      <w:vertAlign w:val="superscript"/>
    </w:rPr>
  </w:style>
  <w:style w:type="character" w:styleId="CommentReference">
    <w:name w:val="annotation reference"/>
    <w:basedOn w:val="DefaultParagraphFont"/>
    <w:uiPriority w:val="99"/>
    <w:semiHidden/>
    <w:unhideWhenUsed/>
    <w:rsid w:val="00E168FC"/>
    <w:rPr>
      <w:sz w:val="16"/>
      <w:szCs w:val="16"/>
    </w:rPr>
  </w:style>
  <w:style w:type="paragraph" w:styleId="CommentText">
    <w:name w:val="annotation text"/>
    <w:basedOn w:val="Normal"/>
    <w:link w:val="CommentTextChar"/>
    <w:uiPriority w:val="99"/>
    <w:unhideWhenUsed/>
    <w:rsid w:val="00E168FC"/>
    <w:rPr>
      <w:sz w:val="20"/>
    </w:rPr>
  </w:style>
  <w:style w:type="character" w:customStyle="1" w:styleId="CommentTextChar">
    <w:name w:val="Comment Text Char"/>
    <w:basedOn w:val="DefaultParagraphFont"/>
    <w:link w:val="CommentText"/>
    <w:uiPriority w:val="99"/>
    <w:rsid w:val="00E168FC"/>
    <w:rPr>
      <w:sz w:val="20"/>
      <w:szCs w:val="20"/>
    </w:rPr>
  </w:style>
  <w:style w:type="paragraph" w:styleId="CommentSubject">
    <w:name w:val="annotation subject"/>
    <w:basedOn w:val="CommentText"/>
    <w:next w:val="CommentText"/>
    <w:link w:val="CommentSubjectChar"/>
    <w:uiPriority w:val="99"/>
    <w:semiHidden/>
    <w:unhideWhenUsed/>
    <w:rsid w:val="00E168FC"/>
    <w:rPr>
      <w:b/>
      <w:bCs/>
    </w:rPr>
  </w:style>
  <w:style w:type="character" w:customStyle="1" w:styleId="CommentSubjectChar">
    <w:name w:val="Comment Subject Char"/>
    <w:basedOn w:val="CommentTextChar"/>
    <w:link w:val="CommentSubject"/>
    <w:uiPriority w:val="99"/>
    <w:semiHidden/>
    <w:rsid w:val="00E168FC"/>
    <w:rPr>
      <w:b/>
      <w:bCs/>
      <w:sz w:val="20"/>
      <w:szCs w:val="20"/>
    </w:rPr>
  </w:style>
  <w:style w:type="paragraph" w:styleId="Footer">
    <w:name w:val="footer"/>
    <w:basedOn w:val="Normal"/>
    <w:link w:val="FooterChar"/>
    <w:uiPriority w:val="7"/>
    <w:unhideWhenUsed/>
    <w:rsid w:val="00D072AE"/>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2236D2"/>
    <w:rPr>
      <w:szCs w:val="20"/>
    </w:rPr>
  </w:style>
  <w:style w:type="paragraph" w:styleId="TOC2">
    <w:name w:val="toc 2"/>
    <w:basedOn w:val="Normal"/>
    <w:next w:val="Normal"/>
    <w:uiPriority w:val="39"/>
    <w:rsid w:val="006B00B9"/>
    <w:pPr>
      <w:ind w:left="216"/>
    </w:pPr>
    <w:rPr>
      <w:rFonts w:asciiTheme="majorHAnsi" w:hAnsiTheme="majorHAnsi"/>
    </w:rPr>
  </w:style>
  <w:style w:type="character" w:customStyle="1" w:styleId="TOCHeadingChar">
    <w:name w:val="TOC Heading Char"/>
    <w:basedOn w:val="DefaultParagraphFont"/>
    <w:link w:val="TOCHeading"/>
    <w:uiPriority w:val="1"/>
    <w:rsid w:val="00660E58"/>
    <w:rPr>
      <w:rFonts w:asciiTheme="majorHAnsi" w:eastAsia="Times New Roman" w:hAnsiTheme="majorHAnsi" w:cs="Times New Roman"/>
      <w:b/>
      <w:sz w:val="40"/>
      <w:szCs w:val="24"/>
    </w:rPr>
  </w:style>
  <w:style w:type="paragraph" w:styleId="Header">
    <w:name w:val="header"/>
    <w:basedOn w:val="Normal"/>
    <w:link w:val="HeaderChar"/>
    <w:uiPriority w:val="49"/>
    <w:unhideWhenUsed/>
    <w:rsid w:val="00F0408B"/>
    <w:pPr>
      <w:tabs>
        <w:tab w:val="center" w:pos="4680"/>
        <w:tab w:val="right" w:pos="9360"/>
      </w:tabs>
    </w:pPr>
  </w:style>
  <w:style w:type="character" w:customStyle="1" w:styleId="HeaderChar">
    <w:name w:val="Header Char"/>
    <w:basedOn w:val="DefaultParagraphFont"/>
    <w:link w:val="Header"/>
    <w:uiPriority w:val="49"/>
    <w:rsid w:val="00F0408B"/>
    <w:rPr>
      <w:szCs w:val="20"/>
    </w:rPr>
  </w:style>
  <w:style w:type="paragraph" w:styleId="Revision">
    <w:name w:val="Revision"/>
    <w:hidden/>
    <w:uiPriority w:val="99"/>
    <w:semiHidden/>
    <w:rsid w:val="009A104E"/>
    <w:rPr>
      <w:szCs w:val="20"/>
    </w:rPr>
  </w:style>
  <w:style w:type="table" w:styleId="GridTable1Light">
    <w:name w:val="Grid Table 1 Light"/>
    <w:basedOn w:val="TableNormal"/>
    <w:uiPriority w:val="46"/>
    <w:rsid w:val="00FC3734"/>
    <w:tblPr>
      <w:tblStyleRowBandSize w:val="1"/>
      <w:tblStyleColBandSize w:val="1"/>
      <w:tblBorders>
        <w:top w:val="single" w:sz="4" w:space="0" w:color="608FFC" w:themeColor="text1" w:themeTint="66"/>
        <w:left w:val="single" w:sz="4" w:space="0" w:color="608FFC" w:themeColor="text1" w:themeTint="66"/>
        <w:bottom w:val="single" w:sz="4" w:space="0" w:color="608FFC" w:themeColor="text1" w:themeTint="66"/>
        <w:right w:val="single" w:sz="4" w:space="0" w:color="608FFC" w:themeColor="text1" w:themeTint="66"/>
        <w:insideH w:val="single" w:sz="4" w:space="0" w:color="608FFC" w:themeColor="text1" w:themeTint="66"/>
        <w:insideV w:val="single" w:sz="4" w:space="0" w:color="608FFC" w:themeColor="text1" w:themeTint="66"/>
      </w:tblBorders>
    </w:tblPr>
    <w:tblStylePr w:type="firstRow">
      <w:rPr>
        <w:b/>
        <w:bCs/>
      </w:rPr>
      <w:tblPr/>
      <w:tcPr>
        <w:tcBorders>
          <w:bottom w:val="single" w:sz="12" w:space="0" w:color="1058FA" w:themeColor="text1" w:themeTint="99"/>
        </w:tcBorders>
      </w:tcPr>
    </w:tblStylePr>
    <w:tblStylePr w:type="lastRow">
      <w:rPr>
        <w:b/>
        <w:bCs/>
      </w:rPr>
      <w:tblPr/>
      <w:tcPr>
        <w:tcBorders>
          <w:top w:val="double" w:sz="2" w:space="0" w:color="1058FA"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94750">
      <w:bodyDiv w:val="1"/>
      <w:marLeft w:val="0"/>
      <w:marRight w:val="0"/>
      <w:marTop w:val="0"/>
      <w:marBottom w:val="0"/>
      <w:divBdr>
        <w:top w:val="none" w:sz="0" w:space="0" w:color="auto"/>
        <w:left w:val="none" w:sz="0" w:space="0" w:color="auto"/>
        <w:bottom w:val="none" w:sz="0" w:space="0" w:color="auto"/>
        <w:right w:val="none" w:sz="0" w:space="0" w:color="auto"/>
      </w:divBdr>
    </w:div>
    <w:div w:id="567037102">
      <w:bodyDiv w:val="1"/>
      <w:marLeft w:val="0"/>
      <w:marRight w:val="0"/>
      <w:marTop w:val="0"/>
      <w:marBottom w:val="0"/>
      <w:divBdr>
        <w:top w:val="none" w:sz="0" w:space="0" w:color="auto"/>
        <w:left w:val="none" w:sz="0" w:space="0" w:color="auto"/>
        <w:bottom w:val="none" w:sz="0" w:space="0" w:color="auto"/>
        <w:right w:val="none" w:sz="0" w:space="0" w:color="auto"/>
      </w:divBdr>
    </w:div>
    <w:div w:id="631518475">
      <w:bodyDiv w:val="1"/>
      <w:marLeft w:val="0"/>
      <w:marRight w:val="0"/>
      <w:marTop w:val="0"/>
      <w:marBottom w:val="0"/>
      <w:divBdr>
        <w:top w:val="none" w:sz="0" w:space="0" w:color="auto"/>
        <w:left w:val="none" w:sz="0" w:space="0" w:color="auto"/>
        <w:bottom w:val="none" w:sz="0" w:space="0" w:color="auto"/>
        <w:right w:val="none" w:sz="0" w:space="0" w:color="auto"/>
      </w:divBdr>
    </w:div>
    <w:div w:id="644554374">
      <w:bodyDiv w:val="1"/>
      <w:marLeft w:val="0"/>
      <w:marRight w:val="0"/>
      <w:marTop w:val="0"/>
      <w:marBottom w:val="0"/>
      <w:divBdr>
        <w:top w:val="none" w:sz="0" w:space="0" w:color="auto"/>
        <w:left w:val="none" w:sz="0" w:space="0" w:color="auto"/>
        <w:bottom w:val="none" w:sz="0" w:space="0" w:color="auto"/>
        <w:right w:val="none" w:sz="0" w:space="0" w:color="auto"/>
      </w:divBdr>
    </w:div>
    <w:div w:id="655064382">
      <w:bodyDiv w:val="1"/>
      <w:marLeft w:val="0"/>
      <w:marRight w:val="0"/>
      <w:marTop w:val="0"/>
      <w:marBottom w:val="0"/>
      <w:divBdr>
        <w:top w:val="none" w:sz="0" w:space="0" w:color="auto"/>
        <w:left w:val="none" w:sz="0" w:space="0" w:color="auto"/>
        <w:bottom w:val="none" w:sz="0" w:space="0" w:color="auto"/>
        <w:right w:val="none" w:sz="0" w:space="0" w:color="auto"/>
      </w:divBdr>
    </w:div>
    <w:div w:id="699353741">
      <w:bodyDiv w:val="1"/>
      <w:marLeft w:val="0"/>
      <w:marRight w:val="0"/>
      <w:marTop w:val="0"/>
      <w:marBottom w:val="0"/>
      <w:divBdr>
        <w:top w:val="none" w:sz="0" w:space="0" w:color="auto"/>
        <w:left w:val="none" w:sz="0" w:space="0" w:color="auto"/>
        <w:bottom w:val="none" w:sz="0" w:space="0" w:color="auto"/>
        <w:right w:val="none" w:sz="0" w:space="0" w:color="auto"/>
      </w:divBdr>
    </w:div>
    <w:div w:id="719128733">
      <w:bodyDiv w:val="1"/>
      <w:marLeft w:val="0"/>
      <w:marRight w:val="0"/>
      <w:marTop w:val="0"/>
      <w:marBottom w:val="0"/>
      <w:divBdr>
        <w:top w:val="none" w:sz="0" w:space="0" w:color="auto"/>
        <w:left w:val="none" w:sz="0" w:space="0" w:color="auto"/>
        <w:bottom w:val="none" w:sz="0" w:space="0" w:color="auto"/>
        <w:right w:val="none" w:sz="0" w:space="0" w:color="auto"/>
      </w:divBdr>
    </w:div>
    <w:div w:id="971178511">
      <w:bodyDiv w:val="1"/>
      <w:marLeft w:val="0"/>
      <w:marRight w:val="0"/>
      <w:marTop w:val="0"/>
      <w:marBottom w:val="0"/>
      <w:divBdr>
        <w:top w:val="none" w:sz="0" w:space="0" w:color="auto"/>
        <w:left w:val="none" w:sz="0" w:space="0" w:color="auto"/>
        <w:bottom w:val="none" w:sz="0" w:space="0" w:color="auto"/>
        <w:right w:val="none" w:sz="0" w:space="0" w:color="auto"/>
      </w:divBdr>
    </w:div>
    <w:div w:id="1645311164">
      <w:bodyDiv w:val="1"/>
      <w:marLeft w:val="0"/>
      <w:marRight w:val="0"/>
      <w:marTop w:val="0"/>
      <w:marBottom w:val="0"/>
      <w:divBdr>
        <w:top w:val="none" w:sz="0" w:space="0" w:color="auto"/>
        <w:left w:val="none" w:sz="0" w:space="0" w:color="auto"/>
        <w:bottom w:val="none" w:sz="0" w:space="0" w:color="auto"/>
        <w:right w:val="none" w:sz="0" w:space="0" w:color="auto"/>
      </w:divBdr>
    </w:div>
    <w:div w:id="1701930583">
      <w:bodyDiv w:val="1"/>
      <w:marLeft w:val="0"/>
      <w:marRight w:val="0"/>
      <w:marTop w:val="0"/>
      <w:marBottom w:val="0"/>
      <w:divBdr>
        <w:top w:val="none" w:sz="0" w:space="0" w:color="auto"/>
        <w:left w:val="none" w:sz="0" w:space="0" w:color="auto"/>
        <w:bottom w:val="none" w:sz="0" w:space="0" w:color="auto"/>
        <w:right w:val="none" w:sz="0" w:space="0" w:color="auto"/>
      </w:divBdr>
    </w:div>
    <w:div w:id="1826244419">
      <w:bodyDiv w:val="1"/>
      <w:marLeft w:val="0"/>
      <w:marRight w:val="0"/>
      <w:marTop w:val="0"/>
      <w:marBottom w:val="0"/>
      <w:divBdr>
        <w:top w:val="none" w:sz="0" w:space="0" w:color="auto"/>
        <w:left w:val="none" w:sz="0" w:space="0" w:color="auto"/>
        <w:bottom w:val="none" w:sz="0" w:space="0" w:color="auto"/>
        <w:right w:val="none" w:sz="0" w:space="0" w:color="auto"/>
      </w:divBdr>
    </w:div>
    <w:div w:id="21123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kaggs01\Downloads\general-design-3%20(1).dotx"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37a463-b99d-470c-8a85-4153a11441a9">Y2PHC7Y2YW5Y-1630869320-16105</_dlc_DocId>
    <_dlc_DocIdUrl xmlns="ea37a463-b99d-470c-8a85-4153a11441a9">
      <Url>https://txhhs.sharepoint.com/sites/hhsc/fs/ra/_layouts/15/DocIdRedir.aspx?ID=Y2PHC7Y2YW5Y-1630869320-16105</Url>
      <Description>Y2PHC7Y2YW5Y-1630869320-16105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921B3C3E55846861C0589E9EB9FAC" ma:contentTypeVersion="1036" ma:contentTypeDescription="Create a new document." ma:contentTypeScope="" ma:versionID="8789c4152234072edb6f8965681cf814">
  <xsd:schema xmlns:xsd="http://www.w3.org/2001/XMLSchema" xmlns:xs="http://www.w3.org/2001/XMLSchema" xmlns:p="http://schemas.microsoft.com/office/2006/metadata/properties" xmlns:ns2="ea37a463-b99d-470c-8a85-4153a11441a9" xmlns:ns3="1571f4e1-8204-4024-bfd5-977daa3869d8" targetNamespace="http://schemas.microsoft.com/office/2006/metadata/properties" ma:root="true" ma:fieldsID="dcb3d8748bd969eff24e3914294a0898" ns2:_="" ns3:_="">
    <xsd:import namespace="ea37a463-b99d-470c-8a85-4153a11441a9"/>
    <xsd:import namespace="1571f4e1-8204-4024-bfd5-977daa3869d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71f4e1-8204-4024-bfd5-977daa3869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E2A209-4273-45C5-BB5E-E10F2CB71745}">
  <ds:schemaRefs>
    <ds:schemaRef ds:uri="http://schemas.microsoft.com/office/2006/metadata/properties"/>
    <ds:schemaRef ds:uri="http://schemas.microsoft.com/office/infopath/2007/PartnerControls"/>
    <ds:schemaRef ds:uri="ea37a463-b99d-470c-8a85-4153a11441a9"/>
  </ds:schemaRefs>
</ds:datastoreItem>
</file>

<file path=customXml/itemProps2.xml><?xml version="1.0" encoding="utf-8"?>
<ds:datastoreItem xmlns:ds="http://schemas.openxmlformats.org/officeDocument/2006/customXml" ds:itemID="{2125BE58-11D3-4F55-B05A-1F90D14CD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1571f4e1-8204-4024-bfd5-977daa386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CAF6E-6F09-4FC5-B514-8D0B57C4029D}">
  <ds:schemaRefs>
    <ds:schemaRef ds:uri="http://schemas.microsoft.com/sharepoint/v3/contenttype/forms"/>
  </ds:schemaRefs>
</ds:datastoreItem>
</file>

<file path=customXml/itemProps4.xml><?xml version="1.0" encoding="utf-8"?>
<ds:datastoreItem xmlns:ds="http://schemas.openxmlformats.org/officeDocument/2006/customXml" ds:itemID="{2FE39940-D394-4CFC-B053-E1E0076C4827}">
  <ds:schemaRefs>
    <ds:schemaRef ds:uri="http://schemas.openxmlformats.org/officeDocument/2006/bibliography"/>
  </ds:schemaRefs>
</ds:datastoreItem>
</file>

<file path=customXml/itemProps5.xml><?xml version="1.0" encoding="utf-8"?>
<ds:datastoreItem xmlns:ds="http://schemas.openxmlformats.org/officeDocument/2006/customXml" ds:itemID="{5D508279-BC70-41DA-8802-F1E36DE5CB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general-design-3 (1).dotx</Template>
  <TotalTime>51</TotalTime>
  <Pages>1</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Links>
    <vt:vector size="78" baseType="variant">
      <vt:variant>
        <vt:i4>1769533</vt:i4>
      </vt:variant>
      <vt:variant>
        <vt:i4>74</vt:i4>
      </vt:variant>
      <vt:variant>
        <vt:i4>0</vt:i4>
      </vt:variant>
      <vt:variant>
        <vt:i4>5</vt:i4>
      </vt:variant>
      <vt:variant>
        <vt:lpwstr/>
      </vt:variant>
      <vt:variant>
        <vt:lpwstr>_Toc99726057</vt:lpwstr>
      </vt:variant>
      <vt:variant>
        <vt:i4>1638461</vt:i4>
      </vt:variant>
      <vt:variant>
        <vt:i4>68</vt:i4>
      </vt:variant>
      <vt:variant>
        <vt:i4>0</vt:i4>
      </vt:variant>
      <vt:variant>
        <vt:i4>5</vt:i4>
      </vt:variant>
      <vt:variant>
        <vt:lpwstr/>
      </vt:variant>
      <vt:variant>
        <vt:lpwstr>_Toc99726055</vt:lpwstr>
      </vt:variant>
      <vt:variant>
        <vt:i4>1572924</vt:i4>
      </vt:variant>
      <vt:variant>
        <vt:i4>62</vt:i4>
      </vt:variant>
      <vt:variant>
        <vt:i4>0</vt:i4>
      </vt:variant>
      <vt:variant>
        <vt:i4>5</vt:i4>
      </vt:variant>
      <vt:variant>
        <vt:lpwstr/>
      </vt:variant>
      <vt:variant>
        <vt:lpwstr>_Toc99726044</vt:lpwstr>
      </vt:variant>
      <vt:variant>
        <vt:i4>1966140</vt:i4>
      </vt:variant>
      <vt:variant>
        <vt:i4>56</vt:i4>
      </vt:variant>
      <vt:variant>
        <vt:i4>0</vt:i4>
      </vt:variant>
      <vt:variant>
        <vt:i4>5</vt:i4>
      </vt:variant>
      <vt:variant>
        <vt:lpwstr/>
      </vt:variant>
      <vt:variant>
        <vt:lpwstr>_Toc99726042</vt:lpwstr>
      </vt:variant>
      <vt:variant>
        <vt:i4>1900604</vt:i4>
      </vt:variant>
      <vt:variant>
        <vt:i4>50</vt:i4>
      </vt:variant>
      <vt:variant>
        <vt:i4>0</vt:i4>
      </vt:variant>
      <vt:variant>
        <vt:i4>5</vt:i4>
      </vt:variant>
      <vt:variant>
        <vt:lpwstr/>
      </vt:variant>
      <vt:variant>
        <vt:lpwstr>_Toc99726041</vt:lpwstr>
      </vt:variant>
      <vt:variant>
        <vt:i4>1769531</vt:i4>
      </vt:variant>
      <vt:variant>
        <vt:i4>44</vt:i4>
      </vt:variant>
      <vt:variant>
        <vt:i4>0</vt:i4>
      </vt:variant>
      <vt:variant>
        <vt:i4>5</vt:i4>
      </vt:variant>
      <vt:variant>
        <vt:lpwstr/>
      </vt:variant>
      <vt:variant>
        <vt:lpwstr>_Toc99726037</vt:lpwstr>
      </vt:variant>
      <vt:variant>
        <vt:i4>1703995</vt:i4>
      </vt:variant>
      <vt:variant>
        <vt:i4>38</vt:i4>
      </vt:variant>
      <vt:variant>
        <vt:i4>0</vt:i4>
      </vt:variant>
      <vt:variant>
        <vt:i4>5</vt:i4>
      </vt:variant>
      <vt:variant>
        <vt:lpwstr/>
      </vt:variant>
      <vt:variant>
        <vt:lpwstr>_Toc99726036</vt:lpwstr>
      </vt:variant>
      <vt:variant>
        <vt:i4>1638459</vt:i4>
      </vt:variant>
      <vt:variant>
        <vt:i4>32</vt:i4>
      </vt:variant>
      <vt:variant>
        <vt:i4>0</vt:i4>
      </vt:variant>
      <vt:variant>
        <vt:i4>5</vt:i4>
      </vt:variant>
      <vt:variant>
        <vt:lpwstr/>
      </vt:variant>
      <vt:variant>
        <vt:lpwstr>_Toc99726035</vt:lpwstr>
      </vt:variant>
      <vt:variant>
        <vt:i4>1572923</vt:i4>
      </vt:variant>
      <vt:variant>
        <vt:i4>26</vt:i4>
      </vt:variant>
      <vt:variant>
        <vt:i4>0</vt:i4>
      </vt:variant>
      <vt:variant>
        <vt:i4>5</vt:i4>
      </vt:variant>
      <vt:variant>
        <vt:lpwstr/>
      </vt:variant>
      <vt:variant>
        <vt:lpwstr>_Toc99726034</vt:lpwstr>
      </vt:variant>
      <vt:variant>
        <vt:i4>2031675</vt:i4>
      </vt:variant>
      <vt:variant>
        <vt:i4>20</vt:i4>
      </vt:variant>
      <vt:variant>
        <vt:i4>0</vt:i4>
      </vt:variant>
      <vt:variant>
        <vt:i4>5</vt:i4>
      </vt:variant>
      <vt:variant>
        <vt:lpwstr/>
      </vt:variant>
      <vt:variant>
        <vt:lpwstr>_Toc99726033</vt:lpwstr>
      </vt:variant>
      <vt:variant>
        <vt:i4>1966139</vt:i4>
      </vt:variant>
      <vt:variant>
        <vt:i4>14</vt:i4>
      </vt:variant>
      <vt:variant>
        <vt:i4>0</vt:i4>
      </vt:variant>
      <vt:variant>
        <vt:i4>5</vt:i4>
      </vt:variant>
      <vt:variant>
        <vt:lpwstr/>
      </vt:variant>
      <vt:variant>
        <vt:lpwstr>_Toc99726032</vt:lpwstr>
      </vt:variant>
      <vt:variant>
        <vt:i4>1900603</vt:i4>
      </vt:variant>
      <vt:variant>
        <vt:i4>8</vt:i4>
      </vt:variant>
      <vt:variant>
        <vt:i4>0</vt:i4>
      </vt:variant>
      <vt:variant>
        <vt:i4>5</vt:i4>
      </vt:variant>
      <vt:variant>
        <vt:lpwstr/>
      </vt:variant>
      <vt:variant>
        <vt:lpwstr>_Toc99726031</vt:lpwstr>
      </vt:variant>
      <vt:variant>
        <vt:i4>1835067</vt:i4>
      </vt:variant>
      <vt:variant>
        <vt:i4>2</vt:i4>
      </vt:variant>
      <vt:variant>
        <vt:i4>0</vt:i4>
      </vt:variant>
      <vt:variant>
        <vt:i4>5</vt:i4>
      </vt:variant>
      <vt:variant>
        <vt:lpwstr/>
      </vt:variant>
      <vt:variant>
        <vt:lpwstr>_Toc99726030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Skaggs,Laura (HHSC)</dc:creator>
  <cp:keywords/>
  <dc:description>Updated Template June 2021</dc:description>
  <cp:lastModifiedBy>Skaggs,Laura (HHSC)</cp:lastModifiedBy>
  <cp:revision>5</cp:revision>
  <dcterms:created xsi:type="dcterms:W3CDTF">2022-06-30T00:40:00Z</dcterms:created>
  <dcterms:modified xsi:type="dcterms:W3CDTF">2022-06-30T00:44:00Z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0x010100C6C921B3C3E55846861C0589E9EB9FAC</vt:lpwstr>
  </property>
  <property fmtid="{D5CDD505-2E9C-101B-9397-08002B2CF9AE}" pid="3" name="_dlc_DocIdItemGuid">
    <vt:lpwstr>e8ac952f-7afa-4aa1-ad3a-941a22f2d3fb</vt:lpwstr>
  </property>
</Properties>
</file>