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080" w:rsidRDefault="00D53365" w:rsidP="003C6CAA">
      <w:pPr>
        <w:pStyle w:val="Heading1"/>
        <w:jc w:val="center"/>
      </w:pPr>
      <w:r w:rsidRPr="00D53365">
        <w:t>Provider Systems Review</w:t>
      </w:r>
      <w:r w:rsidR="003C6CAA">
        <w:t xml:space="preserve"> </w:t>
      </w:r>
      <w:r w:rsidR="00CB250D">
        <w:t>Tool</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320"/>
      </w:tblGrid>
      <w:tr w:rsidR="001834E2" w:rsidRPr="000F330A" w:rsidTr="009F4291">
        <w:trPr>
          <w:trHeight w:val="386"/>
        </w:trPr>
        <w:tc>
          <w:tcPr>
            <w:tcW w:w="6048" w:type="dxa"/>
            <w:vAlign w:val="bottom"/>
          </w:tcPr>
          <w:p w:rsidR="001834E2" w:rsidRPr="000F330A" w:rsidRDefault="001834E2" w:rsidP="003C6CAA">
            <w:pPr>
              <w:pStyle w:val="Heading2"/>
            </w:pPr>
            <w:r w:rsidRPr="000F330A">
              <w:t xml:space="preserve">Provider: </w:t>
            </w:r>
            <w:r w:rsidR="007E7487" w:rsidRPr="000F330A">
              <w:fldChar w:fldCharType="begin">
                <w:ffData>
                  <w:name w:val=""/>
                  <w:enabled/>
                  <w:calcOnExit w:val="0"/>
                  <w:textInput/>
                </w:ffData>
              </w:fldChar>
            </w:r>
            <w:r w:rsidR="007E7487" w:rsidRPr="000F330A">
              <w:instrText xml:space="preserve"> FORMTEXT </w:instrText>
            </w:r>
            <w:r w:rsidR="007E7487" w:rsidRPr="000F330A">
              <w:fldChar w:fldCharType="separate"/>
            </w:r>
            <w:r w:rsidR="007E7487" w:rsidRPr="000F330A">
              <w:rPr>
                <w:noProof/>
              </w:rPr>
              <w:t> </w:t>
            </w:r>
            <w:r w:rsidR="007E7487" w:rsidRPr="000F330A">
              <w:rPr>
                <w:noProof/>
              </w:rPr>
              <w:t> </w:t>
            </w:r>
            <w:r w:rsidR="007E7487" w:rsidRPr="000F330A">
              <w:rPr>
                <w:noProof/>
              </w:rPr>
              <w:t> </w:t>
            </w:r>
            <w:r w:rsidR="007E7487" w:rsidRPr="000F330A">
              <w:rPr>
                <w:noProof/>
              </w:rPr>
              <w:t> </w:t>
            </w:r>
            <w:r w:rsidR="007E7487" w:rsidRPr="000F330A">
              <w:rPr>
                <w:noProof/>
              </w:rPr>
              <w:t> </w:t>
            </w:r>
            <w:r w:rsidR="007E7487" w:rsidRPr="000F330A">
              <w:fldChar w:fldCharType="end"/>
            </w:r>
          </w:p>
        </w:tc>
        <w:tc>
          <w:tcPr>
            <w:tcW w:w="4320" w:type="dxa"/>
            <w:vAlign w:val="bottom"/>
          </w:tcPr>
          <w:p w:rsidR="001834E2" w:rsidRPr="000F330A" w:rsidRDefault="001834E2" w:rsidP="003C6CAA">
            <w:pPr>
              <w:pStyle w:val="Heading2"/>
            </w:pPr>
            <w:r w:rsidRPr="000F330A">
              <w:t xml:space="preserve">Date: </w:t>
            </w:r>
            <w:r w:rsidR="007E7487" w:rsidRPr="000F330A">
              <w:fldChar w:fldCharType="begin">
                <w:ffData>
                  <w:name w:val=""/>
                  <w:enabled/>
                  <w:calcOnExit w:val="0"/>
                  <w:textInput/>
                </w:ffData>
              </w:fldChar>
            </w:r>
            <w:r w:rsidR="007E7487" w:rsidRPr="000F330A">
              <w:instrText xml:space="preserve"> FORMTEXT </w:instrText>
            </w:r>
            <w:r w:rsidR="007E7487" w:rsidRPr="000F330A">
              <w:fldChar w:fldCharType="separate"/>
            </w:r>
            <w:r w:rsidR="007E7487" w:rsidRPr="000F330A">
              <w:rPr>
                <w:noProof/>
              </w:rPr>
              <w:t> </w:t>
            </w:r>
            <w:r w:rsidR="007E7487" w:rsidRPr="000F330A">
              <w:rPr>
                <w:noProof/>
              </w:rPr>
              <w:t> </w:t>
            </w:r>
            <w:r w:rsidR="007E7487" w:rsidRPr="000F330A">
              <w:rPr>
                <w:noProof/>
              </w:rPr>
              <w:t> </w:t>
            </w:r>
            <w:r w:rsidR="007E7487" w:rsidRPr="000F330A">
              <w:rPr>
                <w:noProof/>
              </w:rPr>
              <w:t> </w:t>
            </w:r>
            <w:r w:rsidR="007E7487" w:rsidRPr="000F330A">
              <w:rPr>
                <w:noProof/>
              </w:rPr>
              <w:t> </w:t>
            </w:r>
            <w:r w:rsidR="007E7487" w:rsidRPr="000F330A">
              <w:fldChar w:fldCharType="end"/>
            </w:r>
          </w:p>
        </w:tc>
      </w:tr>
    </w:tbl>
    <w:p w:rsidR="001834E2" w:rsidRPr="000F330A" w:rsidRDefault="001834E2" w:rsidP="001834E2">
      <w:pPr>
        <w:pStyle w:val="NoSpacing"/>
        <w:rPr>
          <w:rFonts w:ascii="Verdana" w:hAnsi="Verdana" w:cs="Arial"/>
        </w:rPr>
      </w:pPr>
    </w:p>
    <w:tbl>
      <w:tblPr>
        <w:tblW w:w="14577" w:type="dxa"/>
        <w:tblInd w:w="93" w:type="dxa"/>
        <w:tblLook w:val="04A0" w:firstRow="1" w:lastRow="0" w:firstColumn="1" w:lastColumn="0" w:noHBand="0" w:noVBand="1"/>
        <w:tblCaption w:val="Provider Systems Review Tool"/>
        <w:tblDescription w:val="Provider Systems Review Tool"/>
      </w:tblPr>
      <w:tblGrid>
        <w:gridCol w:w="6101"/>
        <w:gridCol w:w="1070"/>
        <w:gridCol w:w="1070"/>
        <w:gridCol w:w="6336"/>
      </w:tblGrid>
      <w:tr w:rsidR="001834E2" w:rsidRPr="000F330A" w:rsidTr="003C6CAA">
        <w:trPr>
          <w:cantSplit/>
          <w:trHeight w:val="345"/>
        </w:trPr>
        <w:tc>
          <w:tcPr>
            <w:tcW w:w="6101" w:type="dxa"/>
            <w:tcBorders>
              <w:top w:val="nil"/>
              <w:left w:val="nil"/>
              <w:bottom w:val="single" w:sz="4" w:space="0" w:color="auto"/>
              <w:right w:val="nil"/>
            </w:tcBorders>
            <w:shd w:val="clear" w:color="auto" w:fill="D9D9D9" w:themeFill="background1" w:themeFillShade="D9"/>
            <w:noWrap/>
            <w:vAlign w:val="bottom"/>
            <w:hideMark/>
          </w:tcPr>
          <w:p w:rsidR="001834E2" w:rsidRPr="000F330A" w:rsidRDefault="001834E2" w:rsidP="003C6CAA">
            <w:pPr>
              <w:pStyle w:val="Heading2"/>
              <w:rPr>
                <w:rFonts w:eastAsia="Times New Roman"/>
              </w:rPr>
            </w:pPr>
            <w:r w:rsidRPr="000F330A">
              <w:rPr>
                <w:rFonts w:eastAsia="Times New Roman"/>
              </w:rPr>
              <w:t>A. Program Compliance Review</w:t>
            </w:r>
          </w:p>
        </w:tc>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834E2" w:rsidRPr="000F330A" w:rsidRDefault="001834E2" w:rsidP="003C6CAA">
            <w:pPr>
              <w:pStyle w:val="Heading2"/>
              <w:rPr>
                <w:rFonts w:ascii="Verdana" w:eastAsia="Times New Roman" w:hAnsi="Verdana" w:cs="Arial"/>
              </w:rPr>
            </w:pPr>
            <w:r w:rsidRPr="000F330A">
              <w:rPr>
                <w:rFonts w:ascii="Verdana" w:eastAsia="Times New Roman" w:hAnsi="Verdana" w:cs="Arial"/>
              </w:rPr>
              <w:t>Y/N</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834E2" w:rsidRPr="000F330A" w:rsidRDefault="001834E2" w:rsidP="003C6CAA">
            <w:pPr>
              <w:pStyle w:val="Heading2"/>
              <w:rPr>
                <w:rFonts w:ascii="Verdana" w:eastAsia="Times New Roman" w:hAnsi="Verdana" w:cs="Arial"/>
              </w:rPr>
            </w:pPr>
            <w:r w:rsidRPr="000F330A">
              <w:rPr>
                <w:rFonts w:ascii="Verdana" w:eastAsia="Times New Roman" w:hAnsi="Verdana" w:cs="Arial"/>
              </w:rPr>
              <w:t>NA</w:t>
            </w:r>
          </w:p>
        </w:tc>
        <w:tc>
          <w:tcPr>
            <w:tcW w:w="633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834E2" w:rsidRPr="000F330A" w:rsidRDefault="00B929A5" w:rsidP="003C6CAA">
            <w:pPr>
              <w:pStyle w:val="Heading2"/>
              <w:rPr>
                <w:rFonts w:ascii="Verdana" w:eastAsia="Times New Roman" w:hAnsi="Verdana" w:cs="Arial"/>
              </w:rPr>
            </w:pPr>
            <w:r w:rsidRPr="000F330A">
              <w:rPr>
                <w:rFonts w:ascii="Verdana" w:eastAsia="Times New Roman" w:hAnsi="Verdana" w:cs="Arial"/>
              </w:rPr>
              <w:t>Comments</w:t>
            </w:r>
          </w:p>
        </w:tc>
      </w:tr>
      <w:tr w:rsidR="004A479F" w:rsidRPr="0098290D" w:rsidTr="000F330A">
        <w:trPr>
          <w:trHeight w:val="525"/>
        </w:trPr>
        <w:tc>
          <w:tcPr>
            <w:tcW w:w="6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79F" w:rsidRPr="0098290D" w:rsidRDefault="004A479F" w:rsidP="003C6CAA">
            <w:r w:rsidRPr="0098290D">
              <w:t>Proof of current licensure for all case managers.</w:t>
            </w:r>
            <w:r w:rsidRPr="0098290D">
              <w:rPr>
                <w:i/>
                <w:iCs/>
              </w:rPr>
              <w:t xml:space="preserve"> </w:t>
            </w:r>
            <w:r w:rsidR="00D53365" w:rsidRPr="0098290D">
              <w:rPr>
                <w:i/>
                <w:iCs/>
              </w:rPr>
              <w:t xml:space="preserve"> </w:t>
            </w:r>
            <w:r w:rsidR="000F330A" w:rsidRPr="0098290D">
              <w:rPr>
                <w:iCs/>
              </w:rPr>
              <w:t>(</w:t>
            </w:r>
            <w:r w:rsidR="00D53365" w:rsidRPr="0098290D">
              <w:rPr>
                <w:iCs/>
              </w:rPr>
              <w:t>Policy 002</w:t>
            </w:r>
            <w:r w:rsidR="000F330A" w:rsidRPr="0098290D">
              <w:rPr>
                <w:iCs/>
              </w:rPr>
              <w:t>)</w:t>
            </w:r>
            <w:r w:rsidRPr="0098290D">
              <w:rPr>
                <w:i/>
                <w:iCs/>
              </w:rPr>
              <w:t xml:space="preserve"> </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4A479F" w:rsidRPr="0098290D" w:rsidRDefault="006F3879" w:rsidP="006F3879">
            <w:pPr>
              <w:pStyle w:val="NoSpacing"/>
              <w:rPr>
                <w:rFonts w:ascii="Verdana" w:hAnsi="Verdana" w:cs="Arial"/>
                <w:sz w:val="24"/>
                <w:szCs w:val="24"/>
              </w:rPr>
            </w:pP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4A479F" w:rsidRPr="0098290D" w:rsidRDefault="006F3879" w:rsidP="006F3879">
            <w:pPr>
              <w:pStyle w:val="NoSpacing"/>
              <w:rPr>
                <w:rFonts w:ascii="Verdana" w:hAnsi="Verdana" w:cs="Arial"/>
                <w:sz w:val="24"/>
                <w:szCs w:val="24"/>
              </w:rPr>
            </w:pP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c>
          <w:tcPr>
            <w:tcW w:w="6336" w:type="dxa"/>
            <w:tcBorders>
              <w:top w:val="single" w:sz="4" w:space="0" w:color="auto"/>
              <w:left w:val="nil"/>
              <w:bottom w:val="single" w:sz="4" w:space="0" w:color="auto"/>
              <w:right w:val="single" w:sz="4" w:space="0" w:color="auto"/>
            </w:tcBorders>
            <w:shd w:val="clear" w:color="auto" w:fill="auto"/>
            <w:noWrap/>
            <w:vAlign w:val="center"/>
          </w:tcPr>
          <w:p w:rsidR="004A479F" w:rsidRPr="0098290D" w:rsidRDefault="005D18B0" w:rsidP="00642063">
            <w:pPr>
              <w:pStyle w:val="NoSpacing"/>
              <w:rPr>
                <w:rFonts w:ascii="Verdana" w:hAnsi="Verdana" w:cs="Arial"/>
                <w:sz w:val="24"/>
                <w:szCs w:val="24"/>
              </w:rPr>
            </w:pPr>
            <w:r w:rsidRPr="0098290D">
              <w:rPr>
                <w:rFonts w:ascii="Verdana" w:hAnsi="Verdana" w:cs="Arial"/>
                <w:sz w:val="24"/>
                <w:szCs w:val="24"/>
              </w:rPr>
              <w:t xml:space="preserve"> </w:t>
            </w: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r>
      <w:tr w:rsidR="004A479F" w:rsidRPr="0098290D" w:rsidTr="000F330A">
        <w:trPr>
          <w:trHeight w:val="1095"/>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4A479F" w:rsidRPr="0098290D" w:rsidRDefault="004A479F" w:rsidP="003C6CAA">
            <w:r w:rsidRPr="0098290D">
              <w:t>All independently developed</w:t>
            </w:r>
            <w:r w:rsidR="00F16B75" w:rsidRPr="0098290D">
              <w:t xml:space="preserve"> marketing</w:t>
            </w:r>
            <w:r w:rsidRPr="0098290D">
              <w:t xml:space="preserve"> materials, including but not limited to, brochures, posters, business cards or website have been submitted to DSHS</w:t>
            </w:r>
            <w:r w:rsidR="00F16B75" w:rsidRPr="0098290D">
              <w:t>/HHSC-CM</w:t>
            </w:r>
            <w:r w:rsidRPr="0098290D">
              <w:t xml:space="preserve"> and have been approved by </w:t>
            </w:r>
            <w:r w:rsidR="00F16B75" w:rsidRPr="0098290D">
              <w:t>HHSC-CM</w:t>
            </w:r>
            <w:r w:rsidRPr="0098290D">
              <w:t xml:space="preserve"> for use. </w:t>
            </w:r>
            <w:r w:rsidR="000F330A" w:rsidRPr="0098290D">
              <w:t>(</w:t>
            </w:r>
            <w:r w:rsidRPr="0098290D">
              <w:rPr>
                <w:iCs/>
              </w:rPr>
              <w:t>Policy 004</w:t>
            </w:r>
            <w:r w:rsidR="000F330A" w:rsidRPr="0098290D">
              <w:rPr>
                <w:i/>
                <w:iCs/>
              </w:rPr>
              <w:t>)</w:t>
            </w:r>
          </w:p>
        </w:tc>
        <w:tc>
          <w:tcPr>
            <w:tcW w:w="1070" w:type="dxa"/>
            <w:tcBorders>
              <w:top w:val="nil"/>
              <w:left w:val="nil"/>
              <w:bottom w:val="single" w:sz="4" w:space="0" w:color="auto"/>
              <w:right w:val="single" w:sz="4" w:space="0" w:color="auto"/>
            </w:tcBorders>
            <w:shd w:val="clear" w:color="auto" w:fill="auto"/>
            <w:noWrap/>
            <w:vAlign w:val="center"/>
          </w:tcPr>
          <w:p w:rsidR="004A479F" w:rsidRPr="0098290D" w:rsidRDefault="006F3879" w:rsidP="006F3879">
            <w:pPr>
              <w:pStyle w:val="NoSpacing"/>
              <w:rPr>
                <w:rFonts w:ascii="Verdana" w:hAnsi="Verdana" w:cs="Arial"/>
                <w:sz w:val="24"/>
                <w:szCs w:val="24"/>
              </w:rPr>
            </w:pP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c>
          <w:tcPr>
            <w:tcW w:w="1070" w:type="dxa"/>
            <w:tcBorders>
              <w:top w:val="nil"/>
              <w:left w:val="nil"/>
              <w:bottom w:val="single" w:sz="4" w:space="0" w:color="auto"/>
              <w:right w:val="single" w:sz="4" w:space="0" w:color="auto"/>
            </w:tcBorders>
            <w:shd w:val="clear" w:color="auto" w:fill="auto"/>
            <w:noWrap/>
            <w:vAlign w:val="center"/>
          </w:tcPr>
          <w:p w:rsidR="004A479F" w:rsidRPr="0098290D" w:rsidRDefault="006F3879" w:rsidP="006F3879">
            <w:pPr>
              <w:pStyle w:val="NoSpacing"/>
              <w:rPr>
                <w:rFonts w:ascii="Verdana" w:hAnsi="Verdana" w:cs="Arial"/>
                <w:sz w:val="24"/>
                <w:szCs w:val="24"/>
              </w:rPr>
            </w:pP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c>
          <w:tcPr>
            <w:tcW w:w="6336" w:type="dxa"/>
            <w:tcBorders>
              <w:top w:val="nil"/>
              <w:left w:val="nil"/>
              <w:bottom w:val="single" w:sz="4" w:space="0" w:color="auto"/>
              <w:right w:val="single" w:sz="4" w:space="0" w:color="auto"/>
            </w:tcBorders>
            <w:shd w:val="clear" w:color="auto" w:fill="auto"/>
            <w:noWrap/>
            <w:vAlign w:val="center"/>
          </w:tcPr>
          <w:p w:rsidR="004A479F" w:rsidRPr="0098290D" w:rsidRDefault="006F3879" w:rsidP="006F3879">
            <w:pPr>
              <w:pStyle w:val="NoSpacing"/>
              <w:rPr>
                <w:rFonts w:ascii="Verdana" w:hAnsi="Verdana" w:cs="Arial"/>
                <w:sz w:val="24"/>
                <w:szCs w:val="24"/>
              </w:rPr>
            </w:pP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r>
      <w:tr w:rsidR="004A479F" w:rsidRPr="0098290D" w:rsidTr="000F330A">
        <w:trPr>
          <w:trHeight w:val="855"/>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4A479F" w:rsidRPr="0098290D" w:rsidRDefault="006D7412" w:rsidP="003C6CAA">
            <w:r w:rsidRPr="0098290D">
              <w:t>Provider information submitted to DSHS/HHSC-CM is current and accurate, including case management staff, Conflict of Interest Statements, agency status and demographic information. (Policy 002 and 007)</w:t>
            </w:r>
          </w:p>
        </w:tc>
        <w:tc>
          <w:tcPr>
            <w:tcW w:w="1070" w:type="dxa"/>
            <w:tcBorders>
              <w:top w:val="nil"/>
              <w:left w:val="nil"/>
              <w:bottom w:val="single" w:sz="4" w:space="0" w:color="auto"/>
              <w:right w:val="single" w:sz="4" w:space="0" w:color="auto"/>
            </w:tcBorders>
            <w:shd w:val="clear" w:color="auto" w:fill="auto"/>
            <w:noWrap/>
            <w:vAlign w:val="center"/>
          </w:tcPr>
          <w:p w:rsidR="004A479F" w:rsidRPr="0098290D" w:rsidRDefault="006F3879" w:rsidP="006F3879">
            <w:pPr>
              <w:pStyle w:val="NoSpacing"/>
              <w:rPr>
                <w:rFonts w:ascii="Verdana" w:hAnsi="Verdana" w:cs="Arial"/>
                <w:sz w:val="24"/>
                <w:szCs w:val="24"/>
              </w:rPr>
            </w:pP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c>
          <w:tcPr>
            <w:tcW w:w="1070" w:type="dxa"/>
            <w:tcBorders>
              <w:top w:val="nil"/>
              <w:left w:val="nil"/>
              <w:bottom w:val="single" w:sz="4" w:space="0" w:color="auto"/>
              <w:right w:val="single" w:sz="4" w:space="0" w:color="auto"/>
            </w:tcBorders>
            <w:shd w:val="clear" w:color="auto" w:fill="auto"/>
            <w:noWrap/>
            <w:vAlign w:val="center"/>
          </w:tcPr>
          <w:p w:rsidR="004A479F" w:rsidRPr="0098290D" w:rsidRDefault="006F3879" w:rsidP="006F3879">
            <w:pPr>
              <w:pStyle w:val="NoSpacing"/>
              <w:rPr>
                <w:rFonts w:ascii="Verdana" w:hAnsi="Verdana" w:cs="Arial"/>
                <w:sz w:val="24"/>
                <w:szCs w:val="24"/>
              </w:rPr>
            </w:pP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c>
          <w:tcPr>
            <w:tcW w:w="6336" w:type="dxa"/>
            <w:tcBorders>
              <w:top w:val="nil"/>
              <w:left w:val="nil"/>
              <w:bottom w:val="single" w:sz="4" w:space="0" w:color="auto"/>
              <w:right w:val="single" w:sz="4" w:space="0" w:color="auto"/>
            </w:tcBorders>
            <w:shd w:val="clear" w:color="auto" w:fill="auto"/>
            <w:noWrap/>
            <w:vAlign w:val="center"/>
          </w:tcPr>
          <w:p w:rsidR="004A479F" w:rsidRPr="0098290D" w:rsidRDefault="006F3879" w:rsidP="006F3879">
            <w:pPr>
              <w:pStyle w:val="NoSpacing"/>
              <w:rPr>
                <w:rFonts w:ascii="Verdana" w:hAnsi="Verdana" w:cs="Arial"/>
                <w:sz w:val="24"/>
                <w:szCs w:val="24"/>
              </w:rPr>
            </w:pP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r>
      <w:tr w:rsidR="006D7412" w:rsidRPr="0098290D" w:rsidTr="000F330A">
        <w:trPr>
          <w:trHeight w:val="855"/>
        </w:trPr>
        <w:tc>
          <w:tcPr>
            <w:tcW w:w="6101" w:type="dxa"/>
            <w:tcBorders>
              <w:top w:val="nil"/>
              <w:left w:val="single" w:sz="4" w:space="0" w:color="auto"/>
              <w:bottom w:val="single" w:sz="4" w:space="0" w:color="auto"/>
              <w:right w:val="single" w:sz="4" w:space="0" w:color="auto"/>
            </w:tcBorders>
            <w:shd w:val="clear" w:color="auto" w:fill="auto"/>
            <w:vAlign w:val="center"/>
          </w:tcPr>
          <w:p w:rsidR="006D7412" w:rsidRPr="0098290D" w:rsidRDefault="006D7412" w:rsidP="003C6CAA">
            <w:r w:rsidRPr="0098290D">
              <w:t>Proof of attendance or review of, at minimum, two HHSC</w:t>
            </w:r>
            <w:r w:rsidR="0098290D">
              <w:t>-</w:t>
            </w:r>
            <w:r w:rsidRPr="0098290D">
              <w:t>CM webinars by all case managers within the past year.  (Policy 003)</w:t>
            </w:r>
          </w:p>
        </w:tc>
        <w:tc>
          <w:tcPr>
            <w:tcW w:w="1070" w:type="dxa"/>
            <w:tcBorders>
              <w:top w:val="nil"/>
              <w:left w:val="nil"/>
              <w:bottom w:val="single" w:sz="4" w:space="0" w:color="auto"/>
              <w:right w:val="single" w:sz="4" w:space="0" w:color="auto"/>
            </w:tcBorders>
            <w:shd w:val="clear" w:color="auto" w:fill="auto"/>
            <w:noWrap/>
            <w:vAlign w:val="center"/>
          </w:tcPr>
          <w:p w:rsidR="006D7412" w:rsidRPr="0098290D" w:rsidRDefault="006D7412" w:rsidP="006F3879">
            <w:pPr>
              <w:pStyle w:val="NoSpacing"/>
              <w:rPr>
                <w:rFonts w:ascii="Verdana" w:hAnsi="Verdana" w:cs="Arial"/>
                <w:sz w:val="24"/>
                <w:szCs w:val="24"/>
              </w:rPr>
            </w:pP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c>
          <w:tcPr>
            <w:tcW w:w="1070" w:type="dxa"/>
            <w:tcBorders>
              <w:top w:val="nil"/>
              <w:left w:val="nil"/>
              <w:bottom w:val="single" w:sz="4" w:space="0" w:color="auto"/>
              <w:right w:val="single" w:sz="4" w:space="0" w:color="auto"/>
            </w:tcBorders>
            <w:shd w:val="clear" w:color="auto" w:fill="auto"/>
            <w:noWrap/>
            <w:vAlign w:val="center"/>
          </w:tcPr>
          <w:p w:rsidR="006D7412" w:rsidRPr="0098290D" w:rsidRDefault="006D7412" w:rsidP="006F3879">
            <w:pPr>
              <w:pStyle w:val="NoSpacing"/>
              <w:rPr>
                <w:rFonts w:ascii="Verdana" w:hAnsi="Verdana" w:cs="Arial"/>
                <w:sz w:val="24"/>
                <w:szCs w:val="24"/>
              </w:rPr>
            </w:pP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c>
          <w:tcPr>
            <w:tcW w:w="6336" w:type="dxa"/>
            <w:tcBorders>
              <w:top w:val="nil"/>
              <w:left w:val="nil"/>
              <w:bottom w:val="single" w:sz="4" w:space="0" w:color="auto"/>
              <w:right w:val="single" w:sz="4" w:space="0" w:color="auto"/>
            </w:tcBorders>
            <w:shd w:val="clear" w:color="auto" w:fill="auto"/>
            <w:noWrap/>
            <w:vAlign w:val="center"/>
          </w:tcPr>
          <w:p w:rsidR="006D7412" w:rsidRPr="0098290D" w:rsidRDefault="006D7412" w:rsidP="006F3879">
            <w:pPr>
              <w:pStyle w:val="NoSpacing"/>
              <w:rPr>
                <w:rFonts w:ascii="Verdana" w:hAnsi="Verdana" w:cs="Arial"/>
                <w:sz w:val="24"/>
                <w:szCs w:val="24"/>
              </w:rPr>
            </w:pP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r>
      <w:tr w:rsidR="001834E2" w:rsidRPr="0098290D" w:rsidTr="003C6CAA">
        <w:trPr>
          <w:cantSplit/>
          <w:trHeight w:val="404"/>
        </w:trPr>
        <w:tc>
          <w:tcPr>
            <w:tcW w:w="6101"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1834E2" w:rsidRPr="0098290D" w:rsidRDefault="001834E2" w:rsidP="003C6CAA">
            <w:pPr>
              <w:pStyle w:val="Heading2"/>
              <w:rPr>
                <w:rFonts w:eastAsia="Times New Roman"/>
              </w:rPr>
            </w:pPr>
            <w:r w:rsidRPr="0098290D">
              <w:rPr>
                <w:rFonts w:eastAsia="Times New Roman"/>
              </w:rPr>
              <w:t>B. Internal Quality Assurance Review</w:t>
            </w:r>
          </w:p>
        </w:tc>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834E2" w:rsidRPr="0098290D" w:rsidRDefault="001834E2" w:rsidP="003C6CAA">
            <w:pPr>
              <w:pStyle w:val="Heading2"/>
              <w:rPr>
                <w:rFonts w:eastAsia="Times New Roman"/>
              </w:rPr>
            </w:pPr>
            <w:r w:rsidRPr="0098290D">
              <w:rPr>
                <w:rFonts w:eastAsia="Times New Roman"/>
              </w:rPr>
              <w:t>Y/N</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834E2" w:rsidRPr="0098290D" w:rsidRDefault="001834E2" w:rsidP="003C6CAA">
            <w:pPr>
              <w:pStyle w:val="Heading2"/>
              <w:rPr>
                <w:rFonts w:eastAsia="Times New Roman"/>
              </w:rPr>
            </w:pPr>
            <w:r w:rsidRPr="0098290D">
              <w:rPr>
                <w:rFonts w:eastAsia="Times New Roman"/>
              </w:rPr>
              <w:t>NA</w:t>
            </w:r>
          </w:p>
        </w:tc>
        <w:tc>
          <w:tcPr>
            <w:tcW w:w="633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834E2" w:rsidRPr="0098290D" w:rsidRDefault="00B929A5" w:rsidP="003C6CAA">
            <w:pPr>
              <w:pStyle w:val="Heading2"/>
              <w:rPr>
                <w:rFonts w:eastAsia="Times New Roman"/>
              </w:rPr>
            </w:pPr>
            <w:r w:rsidRPr="0098290D">
              <w:rPr>
                <w:rFonts w:eastAsia="Times New Roman"/>
              </w:rPr>
              <w:t>Comments</w:t>
            </w:r>
          </w:p>
        </w:tc>
      </w:tr>
      <w:tr w:rsidR="00A65080" w:rsidRPr="0098290D" w:rsidTr="000F330A">
        <w:trPr>
          <w:trHeight w:val="1095"/>
        </w:trPr>
        <w:tc>
          <w:tcPr>
            <w:tcW w:w="6101" w:type="dxa"/>
            <w:tcBorders>
              <w:top w:val="single" w:sz="4" w:space="0" w:color="auto"/>
              <w:left w:val="single" w:sz="4" w:space="0" w:color="auto"/>
              <w:bottom w:val="single" w:sz="4" w:space="0" w:color="auto"/>
              <w:right w:val="single" w:sz="4" w:space="0" w:color="auto"/>
            </w:tcBorders>
            <w:shd w:val="clear" w:color="auto" w:fill="auto"/>
            <w:hideMark/>
          </w:tcPr>
          <w:p w:rsidR="00A65080" w:rsidRPr="0098290D" w:rsidRDefault="00A65080" w:rsidP="003C6CAA">
            <w:r w:rsidRPr="0098290D">
              <w:t xml:space="preserve">Provider has a log of all clients referred for case management, including client name, date of birth, client’s Medicaid number, date of referral and outcome of referral.  </w:t>
            </w:r>
            <w:r w:rsidR="000F330A" w:rsidRPr="0098290D">
              <w:t>(</w:t>
            </w:r>
            <w:r w:rsidRPr="0098290D">
              <w:rPr>
                <w:iCs/>
              </w:rPr>
              <w:t>Policy 021</w:t>
            </w:r>
            <w:r w:rsidR="000F330A" w:rsidRPr="0098290D">
              <w:rPr>
                <w:iCs/>
              </w:rPr>
              <w:t>)</w:t>
            </w:r>
            <w:r w:rsidRPr="0098290D">
              <w:rPr>
                <w:i/>
                <w:iCs/>
              </w:rPr>
              <w:t xml:space="preserve"> </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A65080" w:rsidRPr="0098290D" w:rsidRDefault="00A65080" w:rsidP="007D1E0E">
            <w:pPr>
              <w:pStyle w:val="NoSpacing"/>
              <w:rPr>
                <w:rFonts w:ascii="Verdana" w:hAnsi="Verdana" w:cs="Arial"/>
                <w:sz w:val="24"/>
                <w:szCs w:val="24"/>
              </w:rPr>
            </w:pPr>
            <w:r w:rsidRPr="0098290D">
              <w:rPr>
                <w:rFonts w:ascii="Verdana" w:hAnsi="Verdana" w:cs="Arial"/>
                <w:b/>
                <w:bCs/>
                <w:sz w:val="24"/>
                <w:szCs w:val="24"/>
              </w:rPr>
              <w:fldChar w:fldCharType="begin">
                <w:ffData>
                  <w:name w:val=""/>
                  <w:enabled/>
                  <w:calcOnExit w:val="0"/>
                  <w:textInput/>
                </w:ffData>
              </w:fldChar>
            </w:r>
            <w:r w:rsidRPr="0098290D">
              <w:rPr>
                <w:rFonts w:ascii="Verdana" w:hAnsi="Verdana" w:cs="Arial"/>
                <w:b/>
                <w:bCs/>
                <w:sz w:val="24"/>
                <w:szCs w:val="24"/>
              </w:rPr>
              <w:instrText xml:space="preserve"> FORMTEXT </w:instrText>
            </w:r>
            <w:r w:rsidRPr="0098290D">
              <w:rPr>
                <w:rFonts w:ascii="Verdana" w:hAnsi="Verdana" w:cs="Arial"/>
                <w:b/>
                <w:bCs/>
                <w:sz w:val="24"/>
                <w:szCs w:val="24"/>
              </w:rPr>
            </w:r>
            <w:r w:rsidRPr="0098290D">
              <w:rPr>
                <w:rFonts w:ascii="Verdana" w:hAnsi="Verdana" w:cs="Arial"/>
                <w:b/>
                <w:bCs/>
                <w:sz w:val="24"/>
                <w:szCs w:val="24"/>
              </w:rPr>
              <w:fldChar w:fldCharType="separate"/>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sz w:val="24"/>
                <w:szCs w:val="24"/>
              </w:rPr>
              <w:fldChar w:fldCharType="end"/>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A65080" w:rsidRPr="0098290D" w:rsidRDefault="00A65080" w:rsidP="007D1E0E">
            <w:pPr>
              <w:pStyle w:val="NoSpacing"/>
              <w:rPr>
                <w:rFonts w:ascii="Verdana" w:hAnsi="Verdana" w:cs="Arial"/>
                <w:sz w:val="24"/>
                <w:szCs w:val="24"/>
              </w:rPr>
            </w:pPr>
            <w:r w:rsidRPr="0098290D">
              <w:rPr>
                <w:rFonts w:ascii="Verdana" w:hAnsi="Verdana" w:cs="Arial"/>
                <w:b/>
                <w:bCs/>
                <w:sz w:val="24"/>
                <w:szCs w:val="24"/>
              </w:rPr>
              <w:fldChar w:fldCharType="begin">
                <w:ffData>
                  <w:name w:val=""/>
                  <w:enabled/>
                  <w:calcOnExit w:val="0"/>
                  <w:textInput/>
                </w:ffData>
              </w:fldChar>
            </w:r>
            <w:r w:rsidRPr="0098290D">
              <w:rPr>
                <w:rFonts w:ascii="Verdana" w:hAnsi="Verdana" w:cs="Arial"/>
                <w:b/>
                <w:bCs/>
                <w:sz w:val="24"/>
                <w:szCs w:val="24"/>
              </w:rPr>
              <w:instrText xml:space="preserve"> FORMTEXT </w:instrText>
            </w:r>
            <w:r w:rsidRPr="0098290D">
              <w:rPr>
                <w:rFonts w:ascii="Verdana" w:hAnsi="Verdana" w:cs="Arial"/>
                <w:b/>
                <w:bCs/>
                <w:sz w:val="24"/>
                <w:szCs w:val="24"/>
              </w:rPr>
            </w:r>
            <w:r w:rsidRPr="0098290D">
              <w:rPr>
                <w:rFonts w:ascii="Verdana" w:hAnsi="Verdana" w:cs="Arial"/>
                <w:b/>
                <w:bCs/>
                <w:sz w:val="24"/>
                <w:szCs w:val="24"/>
              </w:rPr>
              <w:fldChar w:fldCharType="separate"/>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sz w:val="24"/>
                <w:szCs w:val="24"/>
              </w:rPr>
              <w:fldChar w:fldCharType="end"/>
            </w:r>
          </w:p>
        </w:tc>
        <w:tc>
          <w:tcPr>
            <w:tcW w:w="6336" w:type="dxa"/>
            <w:tcBorders>
              <w:top w:val="single" w:sz="4" w:space="0" w:color="auto"/>
              <w:left w:val="nil"/>
              <w:bottom w:val="single" w:sz="4" w:space="0" w:color="auto"/>
              <w:right w:val="single" w:sz="4" w:space="0" w:color="auto"/>
            </w:tcBorders>
            <w:shd w:val="clear" w:color="000000" w:fill="FFFFFF"/>
            <w:noWrap/>
            <w:vAlign w:val="center"/>
            <w:hideMark/>
          </w:tcPr>
          <w:p w:rsidR="00A65080" w:rsidRPr="0098290D" w:rsidRDefault="005D18B0" w:rsidP="004F3BC1">
            <w:pPr>
              <w:pStyle w:val="NoSpacing"/>
              <w:rPr>
                <w:rFonts w:ascii="Verdana" w:hAnsi="Verdana" w:cs="Arial"/>
                <w:sz w:val="24"/>
                <w:szCs w:val="24"/>
              </w:rPr>
            </w:pP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r>
      <w:tr w:rsidR="0036361C" w:rsidRPr="0098290D" w:rsidTr="000F330A">
        <w:trPr>
          <w:trHeight w:val="1095"/>
        </w:trPr>
        <w:tc>
          <w:tcPr>
            <w:tcW w:w="6101" w:type="dxa"/>
            <w:tcBorders>
              <w:top w:val="single" w:sz="4" w:space="0" w:color="auto"/>
              <w:left w:val="single" w:sz="4" w:space="0" w:color="auto"/>
              <w:bottom w:val="single" w:sz="4" w:space="0" w:color="auto"/>
              <w:right w:val="single" w:sz="4" w:space="0" w:color="auto"/>
            </w:tcBorders>
            <w:shd w:val="clear" w:color="auto" w:fill="auto"/>
            <w:vAlign w:val="center"/>
          </w:tcPr>
          <w:p w:rsidR="0036361C" w:rsidRPr="0098290D" w:rsidRDefault="0036361C" w:rsidP="003C6CAA">
            <w:r w:rsidRPr="0098290D">
              <w:t>Provider has a</w:t>
            </w:r>
            <w:r w:rsidR="005D18B0" w:rsidRPr="0098290D">
              <w:t>n Internal</w:t>
            </w:r>
            <w:r w:rsidR="00D53365" w:rsidRPr="0098290D">
              <w:t xml:space="preserve"> </w:t>
            </w:r>
            <w:r w:rsidRPr="0098290D">
              <w:t xml:space="preserve">Quality Management </w:t>
            </w:r>
            <w:r w:rsidR="000F330A" w:rsidRPr="0098290D">
              <w:t xml:space="preserve">   </w:t>
            </w:r>
            <w:r w:rsidRPr="0098290D">
              <w:t>System</w:t>
            </w:r>
            <w:r w:rsidR="00D53365" w:rsidRPr="0098290D">
              <w:t xml:space="preserve"> </w:t>
            </w:r>
            <w:r w:rsidR="005D18B0" w:rsidRPr="0098290D">
              <w:t>which</w:t>
            </w:r>
            <w:r w:rsidRPr="0098290D">
              <w:t xml:space="preserve"> includes the following:  </w:t>
            </w:r>
          </w:p>
          <w:p w:rsidR="0036361C" w:rsidRPr="0098290D" w:rsidRDefault="0036361C" w:rsidP="003C6CAA">
            <w:r w:rsidRPr="0098290D">
              <w:t xml:space="preserve">Internal client record review procedures, including the number of charts to be reviewed, the frequency of the review, and the approved case manager performing the review. (Case managers may perform self-review) </w:t>
            </w:r>
          </w:p>
          <w:p w:rsidR="000F330A" w:rsidRPr="0098290D" w:rsidRDefault="000F330A" w:rsidP="003C6CAA">
            <w:r w:rsidRPr="0098290D">
              <w:lastRenderedPageBreak/>
              <w:t>Internal program review procedures</w:t>
            </w:r>
          </w:p>
          <w:p w:rsidR="0036361C" w:rsidRPr="0098290D" w:rsidRDefault="000F330A" w:rsidP="003C6CAA">
            <w:r w:rsidRPr="0098290D">
              <w:rPr>
                <w:iCs/>
              </w:rPr>
              <w:t xml:space="preserve">     (</w:t>
            </w:r>
            <w:r w:rsidR="0036361C" w:rsidRPr="0098290D">
              <w:rPr>
                <w:iCs/>
              </w:rPr>
              <w:t>Policy 021</w:t>
            </w:r>
            <w:r w:rsidRPr="0098290D">
              <w:rPr>
                <w:iCs/>
              </w:rPr>
              <w:t>)</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36361C" w:rsidRPr="0098290D" w:rsidRDefault="003F6BBB" w:rsidP="003F6BBB">
            <w:pPr>
              <w:pStyle w:val="NoSpacing"/>
              <w:rPr>
                <w:rFonts w:ascii="Verdana" w:hAnsi="Verdana" w:cs="Arial"/>
                <w:b/>
                <w:bCs/>
                <w:sz w:val="24"/>
                <w:szCs w:val="24"/>
              </w:rPr>
            </w:pPr>
            <w:r w:rsidRPr="0098290D">
              <w:rPr>
                <w:rFonts w:ascii="Verdana" w:hAnsi="Verdana" w:cs="Arial"/>
                <w:b/>
                <w:bCs/>
                <w:sz w:val="24"/>
                <w:szCs w:val="24"/>
              </w:rPr>
              <w:lastRenderedPageBreak/>
              <w:fldChar w:fldCharType="begin">
                <w:ffData>
                  <w:name w:val=""/>
                  <w:enabled/>
                  <w:calcOnExit w:val="0"/>
                  <w:textInput/>
                </w:ffData>
              </w:fldChar>
            </w:r>
            <w:r w:rsidRPr="0098290D">
              <w:rPr>
                <w:rFonts w:ascii="Verdana" w:hAnsi="Verdana" w:cs="Arial"/>
                <w:b/>
                <w:bCs/>
                <w:sz w:val="24"/>
                <w:szCs w:val="24"/>
              </w:rPr>
              <w:instrText xml:space="preserve"> FORMTEXT </w:instrText>
            </w:r>
            <w:r w:rsidRPr="0098290D">
              <w:rPr>
                <w:rFonts w:ascii="Verdana" w:hAnsi="Verdana" w:cs="Arial"/>
                <w:b/>
                <w:bCs/>
                <w:sz w:val="24"/>
                <w:szCs w:val="24"/>
              </w:rPr>
            </w:r>
            <w:r w:rsidRPr="0098290D">
              <w:rPr>
                <w:rFonts w:ascii="Verdana" w:hAnsi="Verdana" w:cs="Arial"/>
                <w:b/>
                <w:bCs/>
                <w:sz w:val="24"/>
                <w:szCs w:val="24"/>
              </w:rPr>
              <w:fldChar w:fldCharType="separate"/>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sz w:val="24"/>
                <w:szCs w:val="24"/>
              </w:rPr>
              <w:fldChar w:fldCharType="end"/>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36361C" w:rsidRPr="0098290D" w:rsidRDefault="003F6BBB" w:rsidP="007D1E0E">
            <w:pPr>
              <w:pStyle w:val="NoSpacing"/>
              <w:rPr>
                <w:rFonts w:ascii="Verdana" w:hAnsi="Verdana" w:cs="Arial"/>
                <w:b/>
                <w:bCs/>
                <w:sz w:val="24"/>
                <w:szCs w:val="24"/>
              </w:rPr>
            </w:pPr>
            <w:r w:rsidRPr="0098290D">
              <w:rPr>
                <w:rFonts w:ascii="Verdana" w:hAnsi="Verdana" w:cs="Arial"/>
                <w:b/>
                <w:bCs/>
                <w:sz w:val="24"/>
                <w:szCs w:val="24"/>
              </w:rPr>
              <w:fldChar w:fldCharType="begin">
                <w:ffData>
                  <w:name w:val=""/>
                  <w:enabled/>
                  <w:calcOnExit w:val="0"/>
                  <w:textInput/>
                </w:ffData>
              </w:fldChar>
            </w:r>
            <w:r w:rsidRPr="0098290D">
              <w:rPr>
                <w:rFonts w:ascii="Verdana" w:hAnsi="Verdana" w:cs="Arial"/>
                <w:b/>
                <w:bCs/>
                <w:sz w:val="24"/>
                <w:szCs w:val="24"/>
              </w:rPr>
              <w:instrText xml:space="preserve"> FORMTEXT </w:instrText>
            </w:r>
            <w:r w:rsidRPr="0098290D">
              <w:rPr>
                <w:rFonts w:ascii="Verdana" w:hAnsi="Verdana" w:cs="Arial"/>
                <w:b/>
                <w:bCs/>
                <w:sz w:val="24"/>
                <w:szCs w:val="24"/>
              </w:rPr>
            </w:r>
            <w:r w:rsidRPr="0098290D">
              <w:rPr>
                <w:rFonts w:ascii="Verdana" w:hAnsi="Verdana" w:cs="Arial"/>
                <w:b/>
                <w:bCs/>
                <w:sz w:val="24"/>
                <w:szCs w:val="24"/>
              </w:rPr>
              <w:fldChar w:fldCharType="separate"/>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sz w:val="24"/>
                <w:szCs w:val="24"/>
              </w:rPr>
              <w:fldChar w:fldCharType="end"/>
            </w:r>
          </w:p>
        </w:tc>
        <w:tc>
          <w:tcPr>
            <w:tcW w:w="6336" w:type="dxa"/>
            <w:tcBorders>
              <w:top w:val="single" w:sz="4" w:space="0" w:color="auto"/>
              <w:left w:val="nil"/>
              <w:bottom w:val="single" w:sz="4" w:space="0" w:color="auto"/>
              <w:right w:val="single" w:sz="4" w:space="0" w:color="auto"/>
            </w:tcBorders>
            <w:shd w:val="clear" w:color="000000" w:fill="FFFFFF"/>
            <w:noWrap/>
            <w:vAlign w:val="center"/>
          </w:tcPr>
          <w:p w:rsidR="0036361C" w:rsidRPr="0098290D" w:rsidRDefault="005D18B0" w:rsidP="004F3BC1">
            <w:pPr>
              <w:pStyle w:val="NoSpacing"/>
              <w:rPr>
                <w:rFonts w:ascii="Verdana" w:hAnsi="Verdana" w:cs="Arial"/>
                <w:b/>
                <w:bCs/>
                <w:sz w:val="24"/>
                <w:szCs w:val="24"/>
              </w:rPr>
            </w:pP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r>
      <w:tr w:rsidR="0036361C" w:rsidRPr="0098290D" w:rsidTr="000F330A">
        <w:trPr>
          <w:trHeight w:val="630"/>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36361C" w:rsidRPr="0098290D" w:rsidRDefault="0036361C" w:rsidP="003C6CAA">
            <w:r w:rsidRPr="0098290D">
              <w:t xml:space="preserve">Provider has implemented </w:t>
            </w:r>
            <w:r w:rsidR="005D18B0" w:rsidRPr="0098290D">
              <w:t>I</w:t>
            </w:r>
            <w:r w:rsidRPr="0098290D">
              <w:t xml:space="preserve">nternal </w:t>
            </w:r>
            <w:r w:rsidR="005D18B0" w:rsidRPr="0098290D">
              <w:t xml:space="preserve">QMS as </w:t>
            </w:r>
            <w:r w:rsidRPr="0098290D">
              <w:t xml:space="preserve">evidenced by completed record review tools (CM-16).  These completed CM-16s are also maintained in the client’s chart.  </w:t>
            </w:r>
            <w:r w:rsidR="000F330A" w:rsidRPr="0098290D">
              <w:rPr>
                <w:iCs/>
              </w:rPr>
              <w:t>(</w:t>
            </w:r>
            <w:r w:rsidRPr="0098290D">
              <w:rPr>
                <w:iCs/>
              </w:rPr>
              <w:t>Policy 02</w:t>
            </w:r>
            <w:r w:rsidR="000F330A" w:rsidRPr="0098290D">
              <w:rPr>
                <w:iCs/>
              </w:rPr>
              <w:t>1)</w:t>
            </w:r>
            <w:r w:rsidRPr="0098290D">
              <w:rPr>
                <w:iCs/>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36361C" w:rsidRPr="0098290D" w:rsidRDefault="0036361C" w:rsidP="007D1E0E">
            <w:pPr>
              <w:pStyle w:val="NoSpacing"/>
              <w:rPr>
                <w:rFonts w:ascii="Verdana" w:hAnsi="Verdana" w:cs="Arial"/>
                <w:sz w:val="24"/>
                <w:szCs w:val="24"/>
              </w:rPr>
            </w:pPr>
            <w:r w:rsidRPr="0098290D">
              <w:rPr>
                <w:rFonts w:ascii="Verdana" w:hAnsi="Verdana" w:cs="Arial"/>
                <w:b/>
                <w:bCs/>
                <w:sz w:val="24"/>
                <w:szCs w:val="24"/>
              </w:rPr>
              <w:fldChar w:fldCharType="begin">
                <w:ffData>
                  <w:name w:val=""/>
                  <w:enabled/>
                  <w:calcOnExit w:val="0"/>
                  <w:textInput/>
                </w:ffData>
              </w:fldChar>
            </w:r>
            <w:r w:rsidRPr="0098290D">
              <w:rPr>
                <w:rFonts w:ascii="Verdana" w:hAnsi="Verdana" w:cs="Arial"/>
                <w:b/>
                <w:bCs/>
                <w:sz w:val="24"/>
                <w:szCs w:val="24"/>
              </w:rPr>
              <w:instrText xml:space="preserve"> FORMTEXT </w:instrText>
            </w:r>
            <w:r w:rsidRPr="0098290D">
              <w:rPr>
                <w:rFonts w:ascii="Verdana" w:hAnsi="Verdana" w:cs="Arial"/>
                <w:b/>
                <w:bCs/>
                <w:sz w:val="24"/>
                <w:szCs w:val="24"/>
              </w:rPr>
            </w:r>
            <w:r w:rsidRPr="0098290D">
              <w:rPr>
                <w:rFonts w:ascii="Verdana" w:hAnsi="Verdana" w:cs="Arial"/>
                <w:b/>
                <w:bCs/>
                <w:sz w:val="24"/>
                <w:szCs w:val="24"/>
              </w:rPr>
              <w:fldChar w:fldCharType="separate"/>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sz w:val="24"/>
                <w:szCs w:val="24"/>
              </w:rPr>
              <w:fldChar w:fldCharType="end"/>
            </w:r>
          </w:p>
        </w:tc>
        <w:tc>
          <w:tcPr>
            <w:tcW w:w="1070" w:type="dxa"/>
            <w:tcBorders>
              <w:top w:val="nil"/>
              <w:left w:val="nil"/>
              <w:bottom w:val="single" w:sz="4" w:space="0" w:color="auto"/>
              <w:right w:val="single" w:sz="4" w:space="0" w:color="auto"/>
            </w:tcBorders>
            <w:shd w:val="clear" w:color="auto" w:fill="auto"/>
            <w:noWrap/>
            <w:vAlign w:val="center"/>
            <w:hideMark/>
          </w:tcPr>
          <w:p w:rsidR="0036361C" w:rsidRPr="0098290D" w:rsidRDefault="0036361C" w:rsidP="007D1E0E">
            <w:pPr>
              <w:pStyle w:val="NoSpacing"/>
              <w:rPr>
                <w:rFonts w:ascii="Verdana" w:hAnsi="Verdana" w:cs="Arial"/>
                <w:sz w:val="24"/>
                <w:szCs w:val="24"/>
              </w:rPr>
            </w:pPr>
            <w:r w:rsidRPr="0098290D">
              <w:rPr>
                <w:rFonts w:ascii="Verdana" w:hAnsi="Verdana" w:cs="Arial"/>
                <w:b/>
                <w:bCs/>
                <w:sz w:val="24"/>
                <w:szCs w:val="24"/>
              </w:rPr>
              <w:fldChar w:fldCharType="begin">
                <w:ffData>
                  <w:name w:val=""/>
                  <w:enabled/>
                  <w:calcOnExit w:val="0"/>
                  <w:textInput/>
                </w:ffData>
              </w:fldChar>
            </w:r>
            <w:r w:rsidRPr="0098290D">
              <w:rPr>
                <w:rFonts w:ascii="Verdana" w:hAnsi="Verdana" w:cs="Arial"/>
                <w:b/>
                <w:bCs/>
                <w:sz w:val="24"/>
                <w:szCs w:val="24"/>
              </w:rPr>
              <w:instrText xml:space="preserve"> FORMTEXT </w:instrText>
            </w:r>
            <w:r w:rsidRPr="0098290D">
              <w:rPr>
                <w:rFonts w:ascii="Verdana" w:hAnsi="Verdana" w:cs="Arial"/>
                <w:b/>
                <w:bCs/>
                <w:sz w:val="24"/>
                <w:szCs w:val="24"/>
              </w:rPr>
            </w:r>
            <w:r w:rsidRPr="0098290D">
              <w:rPr>
                <w:rFonts w:ascii="Verdana" w:hAnsi="Verdana" w:cs="Arial"/>
                <w:b/>
                <w:bCs/>
                <w:sz w:val="24"/>
                <w:szCs w:val="24"/>
              </w:rPr>
              <w:fldChar w:fldCharType="separate"/>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noProof/>
                <w:sz w:val="24"/>
                <w:szCs w:val="24"/>
              </w:rPr>
              <w:t> </w:t>
            </w:r>
            <w:r w:rsidRPr="0098290D">
              <w:rPr>
                <w:rFonts w:ascii="Verdana" w:hAnsi="Verdana" w:cs="Arial"/>
                <w:b/>
                <w:bCs/>
                <w:sz w:val="24"/>
                <w:szCs w:val="24"/>
              </w:rPr>
              <w:fldChar w:fldCharType="end"/>
            </w:r>
          </w:p>
        </w:tc>
        <w:tc>
          <w:tcPr>
            <w:tcW w:w="6336" w:type="dxa"/>
            <w:tcBorders>
              <w:top w:val="nil"/>
              <w:left w:val="nil"/>
              <w:bottom w:val="single" w:sz="4" w:space="0" w:color="auto"/>
              <w:right w:val="single" w:sz="4" w:space="0" w:color="auto"/>
            </w:tcBorders>
            <w:shd w:val="clear" w:color="auto" w:fill="auto"/>
            <w:noWrap/>
            <w:vAlign w:val="center"/>
            <w:hideMark/>
          </w:tcPr>
          <w:p w:rsidR="0036361C" w:rsidRPr="0098290D" w:rsidRDefault="005D18B0" w:rsidP="004F3BC1">
            <w:pPr>
              <w:pStyle w:val="NoSpacing"/>
              <w:rPr>
                <w:rFonts w:ascii="Verdana" w:hAnsi="Verdana" w:cs="Arial"/>
                <w:sz w:val="24"/>
                <w:szCs w:val="24"/>
              </w:rPr>
            </w:pPr>
            <w:r w:rsidRPr="0098290D">
              <w:rPr>
                <w:rFonts w:ascii="Verdana" w:hAnsi="Verdana" w:cs="Arial"/>
                <w:sz w:val="24"/>
                <w:szCs w:val="24"/>
              </w:rPr>
              <w:fldChar w:fldCharType="begin">
                <w:ffData>
                  <w:name w:val=""/>
                  <w:enabled/>
                  <w:calcOnExit w:val="0"/>
                  <w:textInput/>
                </w:ffData>
              </w:fldChar>
            </w:r>
            <w:r w:rsidRPr="0098290D">
              <w:rPr>
                <w:rFonts w:ascii="Verdana" w:hAnsi="Verdana" w:cs="Arial"/>
                <w:sz w:val="24"/>
                <w:szCs w:val="24"/>
              </w:rPr>
              <w:instrText xml:space="preserve"> FORMTEXT </w:instrText>
            </w:r>
            <w:r w:rsidRPr="0098290D">
              <w:rPr>
                <w:rFonts w:ascii="Verdana" w:hAnsi="Verdana" w:cs="Arial"/>
                <w:sz w:val="24"/>
                <w:szCs w:val="24"/>
              </w:rPr>
            </w:r>
            <w:r w:rsidRPr="0098290D">
              <w:rPr>
                <w:rFonts w:ascii="Verdana" w:hAnsi="Verdana" w:cs="Arial"/>
                <w:sz w:val="24"/>
                <w:szCs w:val="24"/>
              </w:rPr>
              <w:fldChar w:fldCharType="separate"/>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noProof/>
                <w:sz w:val="24"/>
                <w:szCs w:val="24"/>
              </w:rPr>
              <w:t> </w:t>
            </w:r>
            <w:r w:rsidRPr="0098290D">
              <w:rPr>
                <w:rFonts w:ascii="Verdana" w:hAnsi="Verdana" w:cs="Arial"/>
                <w:sz w:val="24"/>
                <w:szCs w:val="24"/>
              </w:rPr>
              <w:fldChar w:fldCharType="end"/>
            </w:r>
          </w:p>
        </w:tc>
      </w:tr>
    </w:tbl>
    <w:p w:rsidR="003A64D8" w:rsidRPr="0098290D" w:rsidRDefault="003A64D8" w:rsidP="003C6CAA">
      <w:pPr>
        <w:rPr>
          <w:rFonts w:ascii="Verdana" w:hAnsi="Verdana"/>
          <w:sz w:val="24"/>
          <w:szCs w:val="24"/>
        </w:rPr>
      </w:pPr>
    </w:p>
    <w:sectPr w:rsidR="003A64D8" w:rsidRPr="0098290D" w:rsidSect="00A65080">
      <w:headerReference w:type="default" r:id="rId8"/>
      <w:pgSz w:w="15840" w:h="12240" w:orient="landscape"/>
      <w:pgMar w:top="720" w:right="504"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E87" w:rsidRDefault="00086E87" w:rsidP="001834E2">
      <w:pPr>
        <w:spacing w:after="0" w:line="240" w:lineRule="auto"/>
      </w:pPr>
      <w:r>
        <w:separator/>
      </w:r>
    </w:p>
  </w:endnote>
  <w:endnote w:type="continuationSeparator" w:id="0">
    <w:p w:rsidR="00086E87" w:rsidRDefault="00086E87" w:rsidP="0018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E87" w:rsidRDefault="00086E87" w:rsidP="001834E2">
      <w:pPr>
        <w:spacing w:after="0" w:line="240" w:lineRule="auto"/>
      </w:pPr>
      <w:r>
        <w:separator/>
      </w:r>
    </w:p>
  </w:footnote>
  <w:footnote w:type="continuationSeparator" w:id="0">
    <w:p w:rsidR="00086E87" w:rsidRDefault="00086E87" w:rsidP="00183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080" w:rsidRPr="00D53365" w:rsidRDefault="003F6BBB" w:rsidP="00A65080">
    <w:pPr>
      <w:pStyle w:val="Header"/>
      <w:tabs>
        <w:tab w:val="clear" w:pos="9360"/>
        <w:tab w:val="right" w:pos="10800"/>
      </w:tabs>
      <w:rPr>
        <w:rFonts w:ascii="Verdana" w:hAnsi="Verdana" w:cs="Arial"/>
        <w:sz w:val="16"/>
        <w:szCs w:val="24"/>
      </w:rPr>
    </w:pPr>
    <w:r>
      <w:rPr>
        <w:rFonts w:ascii="Arial" w:hAnsi="Arial" w:cs="Arial"/>
        <w:b/>
        <w:noProof/>
        <w:sz w:val="28"/>
        <w:szCs w:val="28"/>
      </w:rPr>
      <w:drawing>
        <wp:inline distT="0" distB="0" distL="0" distR="0">
          <wp:extent cx="987848" cy="561975"/>
          <wp:effectExtent l="0" t="0" r="3175" b="0"/>
          <wp:docPr id="2" name="Picture 2" descr="Texas Health and Human Services Logo" title="Texas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D0152_HHS_Logo_lockup_CMCPW_BW.png"/>
                  <pic:cNvPicPr/>
                </pic:nvPicPr>
                <pic:blipFill>
                  <a:blip r:embed="rId1">
                    <a:extLst>
                      <a:ext uri="{28A0092B-C50C-407E-A947-70E740481C1C}">
                        <a14:useLocalDpi xmlns:a14="http://schemas.microsoft.com/office/drawing/2010/main" val="0"/>
                      </a:ext>
                    </a:extLst>
                  </a:blip>
                  <a:stretch>
                    <a:fillRect/>
                  </a:stretch>
                </pic:blipFill>
                <pic:spPr>
                  <a:xfrm>
                    <a:off x="0" y="0"/>
                    <a:ext cx="1026642" cy="584044"/>
                  </a:xfrm>
                  <a:prstGeom prst="rect">
                    <a:avLst/>
                  </a:prstGeom>
                </pic:spPr>
              </pic:pic>
            </a:graphicData>
          </a:graphic>
        </wp:inline>
      </w:drawing>
    </w:r>
    <w:r w:rsidR="00A65080">
      <w:rPr>
        <w:rFonts w:ascii="Arial" w:hAnsi="Arial" w:cs="Arial"/>
        <w:b/>
        <w:sz w:val="28"/>
        <w:szCs w:val="28"/>
      </w:rPr>
      <w:t xml:space="preserve">           </w:t>
    </w:r>
    <w:r w:rsidR="007B15DF">
      <w:rPr>
        <w:rFonts w:ascii="Arial" w:hAnsi="Arial" w:cs="Arial"/>
        <w:b/>
        <w:sz w:val="28"/>
        <w:szCs w:val="28"/>
      </w:rPr>
      <w:t xml:space="preserve">                              </w:t>
    </w:r>
    <w:r w:rsidR="00D53365">
      <w:rPr>
        <w:rFonts w:ascii="Arial" w:hAnsi="Arial" w:cs="Arial"/>
        <w:b/>
        <w:sz w:val="28"/>
        <w:szCs w:val="28"/>
      </w:rPr>
      <w:t xml:space="preserve">   </w:t>
    </w:r>
    <w:r w:rsidR="001834E2" w:rsidRPr="00D53365">
      <w:rPr>
        <w:rFonts w:ascii="Verdana" w:hAnsi="Verdana" w:cs="Arial"/>
        <w:b/>
        <w:sz w:val="24"/>
        <w:szCs w:val="24"/>
      </w:rPr>
      <w:t xml:space="preserve">     </w:t>
    </w:r>
    <w:r w:rsidR="001834E2" w:rsidRPr="00D53365">
      <w:rPr>
        <w:rFonts w:ascii="Verdana" w:hAnsi="Verdana" w:cs="Arial"/>
        <w:sz w:val="24"/>
        <w:szCs w:val="24"/>
      </w:rPr>
      <w:t xml:space="preserve">                    </w:t>
    </w:r>
    <w:r w:rsidR="007B15DF" w:rsidRPr="00D53365">
      <w:rPr>
        <w:rFonts w:ascii="Verdana" w:hAnsi="Verdana" w:cs="Arial"/>
        <w:sz w:val="24"/>
        <w:szCs w:val="24"/>
      </w:rPr>
      <w:tab/>
      <w:t xml:space="preserve">     </w:t>
    </w:r>
    <w:r w:rsidRPr="00D53365">
      <w:rPr>
        <w:rFonts w:ascii="Verdana" w:hAnsi="Verdana" w:cs="Arial"/>
        <w:sz w:val="24"/>
        <w:szCs w:val="24"/>
      </w:rPr>
      <w:tab/>
    </w:r>
    <w:r w:rsidRPr="00D53365">
      <w:rPr>
        <w:rFonts w:ascii="Verdana" w:hAnsi="Verdana" w:cs="Arial"/>
        <w:sz w:val="24"/>
        <w:szCs w:val="24"/>
      </w:rPr>
      <w:tab/>
    </w:r>
    <w:r w:rsidR="00D53365">
      <w:rPr>
        <w:rFonts w:ascii="Verdana" w:hAnsi="Verdana" w:cs="Arial"/>
        <w:sz w:val="24"/>
        <w:szCs w:val="24"/>
      </w:rPr>
      <w:tab/>
    </w:r>
    <w:r w:rsidR="00941637" w:rsidRPr="00D53365">
      <w:rPr>
        <w:rFonts w:ascii="Verdana" w:hAnsi="Verdana" w:cs="Arial"/>
        <w:sz w:val="16"/>
        <w:szCs w:val="24"/>
      </w:rPr>
      <w:t>CM-15</w:t>
    </w:r>
  </w:p>
  <w:p w:rsidR="00347A03" w:rsidRPr="00E316FA" w:rsidRDefault="00A65080" w:rsidP="00A65080">
    <w:pPr>
      <w:pStyle w:val="Header"/>
      <w:tabs>
        <w:tab w:val="clear" w:pos="9360"/>
        <w:tab w:val="right" w:pos="10800"/>
      </w:tabs>
      <w:rPr>
        <w:rFonts w:ascii="Arial" w:hAnsi="Arial" w:cs="Arial"/>
        <w:b/>
        <w:sz w:val="28"/>
        <w:szCs w:val="28"/>
      </w:rPr>
    </w:pPr>
    <w:r w:rsidRPr="00D53365">
      <w:rPr>
        <w:rFonts w:ascii="Verdana" w:hAnsi="Verdana" w:cs="Arial"/>
        <w:sz w:val="24"/>
        <w:szCs w:val="24"/>
      </w:rPr>
      <w:t xml:space="preserve">                                                                                                                   </w:t>
    </w:r>
    <w:r w:rsidR="00D53365">
      <w:rPr>
        <w:rFonts w:ascii="Verdana" w:hAnsi="Verdana" w:cs="Arial"/>
        <w:sz w:val="24"/>
        <w:szCs w:val="24"/>
      </w:rPr>
      <w:t xml:space="preserve">                              </w:t>
    </w:r>
    <w:r w:rsidR="00D53365">
      <w:rPr>
        <w:rFonts w:ascii="Verdana" w:hAnsi="Verdana" w:cs="Arial"/>
        <w:sz w:val="24"/>
        <w:szCs w:val="24"/>
      </w:rPr>
      <w:tab/>
    </w:r>
    <w:r w:rsidR="00D53365">
      <w:rPr>
        <w:rFonts w:ascii="Verdana" w:hAnsi="Verdana" w:cs="Arial"/>
        <w:sz w:val="24"/>
        <w:szCs w:val="24"/>
      </w:rPr>
      <w:tab/>
    </w:r>
    <w:r w:rsidR="006D7412">
      <w:rPr>
        <w:rFonts w:ascii="Verdana" w:hAnsi="Verdana" w:cs="Arial"/>
        <w:sz w:val="14"/>
        <w:szCs w:val="24"/>
      </w:rPr>
      <w:t>OCT 2019</w:t>
    </w:r>
    <w:r w:rsidRPr="00D53365">
      <w:rPr>
        <w:rFonts w:ascii="Verdana" w:hAnsi="Verdana" w:cs="Arial"/>
        <w:sz w:val="14"/>
        <w:szCs w:val="24"/>
      </w:rPr>
      <w:t xml:space="preserve">                                                                                                                                </w:t>
    </w:r>
    <w:r w:rsidR="007B15DF" w:rsidRPr="00D53365">
      <w:rPr>
        <w:rFonts w:ascii="Verdana" w:hAnsi="Verdana" w:cs="Arial"/>
        <w:sz w:val="14"/>
        <w:szCs w:val="24"/>
      </w:rPr>
      <w:t xml:space="preserve">               </w:t>
    </w:r>
    <w:r w:rsidR="003F6BBB" w:rsidRPr="00D53365">
      <w:rPr>
        <w:rFonts w:ascii="Verdana" w:hAnsi="Verdana" w:cs="Arial"/>
        <w:sz w:val="14"/>
        <w:szCs w:val="24"/>
      </w:rPr>
      <w:t xml:space="preserve">   </w:t>
    </w:r>
    <w:r w:rsidR="00941637" w:rsidRPr="00D53365">
      <w:rPr>
        <w:rFonts w:ascii="Arial" w:hAnsi="Arial" w:cs="Arial"/>
        <w:sz w:val="16"/>
        <w:szCs w:val="28"/>
      </w:rPr>
      <w:t xml:space="preserve">  </w:t>
    </w:r>
    <w:r w:rsidR="00347A03" w:rsidRPr="00D53365">
      <w:rPr>
        <w:rFonts w:ascii="Arial" w:hAnsi="Arial" w:cs="Arial"/>
        <w:sz w:val="6"/>
        <w:szCs w:val="16"/>
      </w:rPr>
      <w:t xml:space="preserve">     </w:t>
    </w:r>
    <w:r w:rsidR="00941637">
      <w:rPr>
        <w:rFonts w:ascii="Arial" w:hAnsi="Arial" w:cs="Arial"/>
        <w:sz w:val="16"/>
        <w:szCs w:val="16"/>
      </w:rPr>
      <w:t xml:space="preserve">                                                                                                                                                                                                                              </w:t>
    </w:r>
    <w:r w:rsidR="00411640">
      <w:rPr>
        <w:rFonts w:ascii="Arial" w:hAnsi="Arial" w:cs="Arial"/>
        <w:sz w:val="16"/>
        <w:szCs w:val="16"/>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93058"/>
    <w:multiLevelType w:val="hybridMultilevel"/>
    <w:tmpl w:val="A4607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80E64"/>
    <w:multiLevelType w:val="hybridMultilevel"/>
    <w:tmpl w:val="739C8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6E55B9"/>
    <w:multiLevelType w:val="hybridMultilevel"/>
    <w:tmpl w:val="BEA43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561C1"/>
    <w:multiLevelType w:val="hybridMultilevel"/>
    <w:tmpl w:val="02DAD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A115A8"/>
    <w:multiLevelType w:val="hybridMultilevel"/>
    <w:tmpl w:val="E6D06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E2"/>
    <w:rsid w:val="00086E87"/>
    <w:rsid w:val="000E6926"/>
    <w:rsid w:val="000F330A"/>
    <w:rsid w:val="00176AF1"/>
    <w:rsid w:val="00183453"/>
    <w:rsid w:val="001834E2"/>
    <w:rsid w:val="001C7DD9"/>
    <w:rsid w:val="002259FA"/>
    <w:rsid w:val="00226F3C"/>
    <w:rsid w:val="00266C51"/>
    <w:rsid w:val="002843B1"/>
    <w:rsid w:val="00321738"/>
    <w:rsid w:val="00347A03"/>
    <w:rsid w:val="0036361C"/>
    <w:rsid w:val="00372A58"/>
    <w:rsid w:val="003A64D8"/>
    <w:rsid w:val="003C6CAA"/>
    <w:rsid w:val="003E2644"/>
    <w:rsid w:val="003F6BBB"/>
    <w:rsid w:val="00411640"/>
    <w:rsid w:val="004A479F"/>
    <w:rsid w:val="004C5A14"/>
    <w:rsid w:val="004F3BC1"/>
    <w:rsid w:val="005166EC"/>
    <w:rsid w:val="005804D5"/>
    <w:rsid w:val="005D18B0"/>
    <w:rsid w:val="005F2912"/>
    <w:rsid w:val="00642063"/>
    <w:rsid w:val="00653960"/>
    <w:rsid w:val="00695D7B"/>
    <w:rsid w:val="006D7412"/>
    <w:rsid w:val="006F3879"/>
    <w:rsid w:val="00775F12"/>
    <w:rsid w:val="007B15DF"/>
    <w:rsid w:val="007D1E0E"/>
    <w:rsid w:val="007E7487"/>
    <w:rsid w:val="007F07E5"/>
    <w:rsid w:val="007F0B9B"/>
    <w:rsid w:val="007F148D"/>
    <w:rsid w:val="0093208D"/>
    <w:rsid w:val="00941637"/>
    <w:rsid w:val="00961230"/>
    <w:rsid w:val="0098290D"/>
    <w:rsid w:val="0099185F"/>
    <w:rsid w:val="009C35D2"/>
    <w:rsid w:val="009F4291"/>
    <w:rsid w:val="00A3440E"/>
    <w:rsid w:val="00A65080"/>
    <w:rsid w:val="00AF6B4B"/>
    <w:rsid w:val="00B72FCE"/>
    <w:rsid w:val="00B929A5"/>
    <w:rsid w:val="00BD4C51"/>
    <w:rsid w:val="00C12783"/>
    <w:rsid w:val="00CB250D"/>
    <w:rsid w:val="00D257EA"/>
    <w:rsid w:val="00D53365"/>
    <w:rsid w:val="00E2147C"/>
    <w:rsid w:val="00E316FA"/>
    <w:rsid w:val="00E40572"/>
    <w:rsid w:val="00F01895"/>
    <w:rsid w:val="00F16B75"/>
    <w:rsid w:val="00F52E3D"/>
    <w:rsid w:val="00F7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7C7102-BE84-41A2-9522-0ED2E6C6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6C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4E2"/>
  </w:style>
  <w:style w:type="paragraph" w:styleId="Footer">
    <w:name w:val="footer"/>
    <w:basedOn w:val="Normal"/>
    <w:link w:val="FooterChar"/>
    <w:uiPriority w:val="99"/>
    <w:unhideWhenUsed/>
    <w:rsid w:val="00183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4E2"/>
  </w:style>
  <w:style w:type="paragraph" w:styleId="BalloonText">
    <w:name w:val="Balloon Text"/>
    <w:basedOn w:val="Normal"/>
    <w:link w:val="BalloonTextChar"/>
    <w:uiPriority w:val="99"/>
    <w:semiHidden/>
    <w:unhideWhenUsed/>
    <w:rsid w:val="00183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E2"/>
    <w:rPr>
      <w:rFonts w:ascii="Tahoma" w:hAnsi="Tahoma" w:cs="Tahoma"/>
      <w:sz w:val="16"/>
      <w:szCs w:val="16"/>
    </w:rPr>
  </w:style>
  <w:style w:type="paragraph" w:styleId="NoSpacing">
    <w:name w:val="No Spacing"/>
    <w:uiPriority w:val="1"/>
    <w:qFormat/>
    <w:rsid w:val="001834E2"/>
    <w:pPr>
      <w:spacing w:after="0" w:line="240" w:lineRule="auto"/>
    </w:pPr>
  </w:style>
  <w:style w:type="table" w:styleId="TableGrid">
    <w:name w:val="Table Grid"/>
    <w:basedOn w:val="TableNormal"/>
    <w:uiPriority w:val="59"/>
    <w:rsid w:val="0018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080"/>
    <w:pPr>
      <w:ind w:left="720"/>
      <w:contextualSpacing/>
    </w:pPr>
  </w:style>
  <w:style w:type="character" w:customStyle="1" w:styleId="Heading1Char">
    <w:name w:val="Heading 1 Char"/>
    <w:basedOn w:val="DefaultParagraphFont"/>
    <w:link w:val="Heading1"/>
    <w:uiPriority w:val="9"/>
    <w:rsid w:val="003C6CA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C6C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52855">
      <w:bodyDiv w:val="1"/>
      <w:marLeft w:val="0"/>
      <w:marRight w:val="0"/>
      <w:marTop w:val="0"/>
      <w:marBottom w:val="0"/>
      <w:divBdr>
        <w:top w:val="none" w:sz="0" w:space="0" w:color="auto"/>
        <w:left w:val="none" w:sz="0" w:space="0" w:color="auto"/>
        <w:bottom w:val="none" w:sz="0" w:space="0" w:color="auto"/>
        <w:right w:val="none" w:sz="0" w:space="0" w:color="auto"/>
      </w:divBdr>
    </w:div>
    <w:div w:id="17791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ED7E-5E50-4523-82E4-F5581CCA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Borja-Smith,Jennifer (DSHS)</dc:creator>
  <cp:lastModifiedBy>Cleary-White,Allison (HHSC)</cp:lastModifiedBy>
  <cp:revision>2</cp:revision>
  <dcterms:created xsi:type="dcterms:W3CDTF">2019-11-04T16:32:00Z</dcterms:created>
  <dcterms:modified xsi:type="dcterms:W3CDTF">2019-11-04T16:32:00Z</dcterms:modified>
</cp:coreProperties>
</file>